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AD740" w14:textId="77777777" w:rsidR="00614C12" w:rsidRPr="00AB2607" w:rsidRDefault="00614C12" w:rsidP="00614C1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B2607">
        <w:rPr>
          <w:rFonts w:ascii="Times New Roman" w:eastAsia="Calibri" w:hAnsi="Times New Roman" w:cs="Times New Roman"/>
          <w:b/>
        </w:rPr>
        <w:t>Sveučilište u Rijeci</w:t>
      </w:r>
    </w:p>
    <w:p w14:paraId="08308E7E" w14:textId="77777777" w:rsidR="00614C12" w:rsidRPr="00AB2607" w:rsidRDefault="00614C12" w:rsidP="00614C1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B2607">
        <w:rPr>
          <w:rFonts w:ascii="Times New Roman" w:eastAsia="Calibri" w:hAnsi="Times New Roman" w:cs="Times New Roman"/>
          <w:b/>
        </w:rPr>
        <w:t xml:space="preserve">Pomorski fakultet </w:t>
      </w:r>
    </w:p>
    <w:p w14:paraId="49D71BE3" w14:textId="77777777" w:rsidR="00614C12" w:rsidRPr="00AB2607" w:rsidRDefault="00614C12" w:rsidP="00614C1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B2607">
        <w:rPr>
          <w:rFonts w:ascii="Times New Roman" w:eastAsia="Calibri" w:hAnsi="Times New Roman" w:cs="Times New Roman"/>
          <w:b/>
        </w:rPr>
        <w:t>OIB 76722145702</w:t>
      </w:r>
    </w:p>
    <w:p w14:paraId="5C55C26F" w14:textId="77777777" w:rsidR="00614C12" w:rsidRPr="00AB2607" w:rsidRDefault="00614C12" w:rsidP="00614C1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B2607">
        <w:rPr>
          <w:rFonts w:ascii="Times New Roman" w:eastAsia="Calibri" w:hAnsi="Times New Roman" w:cs="Times New Roman"/>
          <w:b/>
        </w:rPr>
        <w:t>RKP</w:t>
      </w:r>
      <w:r w:rsidR="002C15E8" w:rsidRPr="00AB2607">
        <w:rPr>
          <w:rFonts w:ascii="Times New Roman" w:eastAsia="Calibri" w:hAnsi="Times New Roman" w:cs="Times New Roman"/>
          <w:b/>
        </w:rPr>
        <w:t xml:space="preserve"> </w:t>
      </w:r>
      <w:r w:rsidRPr="00AB2607">
        <w:rPr>
          <w:rFonts w:ascii="Times New Roman" w:eastAsia="Calibri" w:hAnsi="Times New Roman" w:cs="Times New Roman"/>
          <w:b/>
        </w:rPr>
        <w:t>22568</w:t>
      </w:r>
    </w:p>
    <w:p w14:paraId="6110F689" w14:textId="77777777" w:rsidR="00614C12" w:rsidRPr="00AB2607" w:rsidRDefault="00614C12" w:rsidP="00624C1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2CEDA48" w14:textId="77777777" w:rsidR="00B4366D" w:rsidRPr="00AB2607" w:rsidRDefault="00614C12" w:rsidP="00614C1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2607">
        <w:rPr>
          <w:rFonts w:ascii="Times New Roman" w:eastAsia="Calibri" w:hAnsi="Times New Roman" w:cs="Times New Roman"/>
          <w:b/>
        </w:rPr>
        <w:t xml:space="preserve">Obrazloženje Općeg dijela </w:t>
      </w:r>
      <w:r w:rsidR="00A64D16" w:rsidRPr="00AB2607">
        <w:rPr>
          <w:rFonts w:ascii="Times New Roman" w:eastAsia="Calibri" w:hAnsi="Times New Roman" w:cs="Times New Roman"/>
          <w:b/>
        </w:rPr>
        <w:t>f</w:t>
      </w:r>
      <w:r w:rsidRPr="00AB2607">
        <w:rPr>
          <w:rFonts w:ascii="Times New Roman" w:eastAsia="Calibri" w:hAnsi="Times New Roman" w:cs="Times New Roman"/>
          <w:b/>
        </w:rPr>
        <w:t xml:space="preserve">inancijskog plana </w:t>
      </w:r>
    </w:p>
    <w:p w14:paraId="3498E74E" w14:textId="77777777" w:rsidR="00614C12" w:rsidRPr="00AB2607" w:rsidRDefault="00614C12" w:rsidP="00614C1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2607">
        <w:rPr>
          <w:rFonts w:ascii="Times New Roman" w:eastAsia="Calibri" w:hAnsi="Times New Roman" w:cs="Times New Roman"/>
          <w:b/>
        </w:rPr>
        <w:t>za razdoblje  202</w:t>
      </w:r>
      <w:r w:rsidR="00AB2607" w:rsidRPr="00AB2607">
        <w:rPr>
          <w:rFonts w:ascii="Times New Roman" w:eastAsia="Calibri" w:hAnsi="Times New Roman" w:cs="Times New Roman"/>
          <w:b/>
        </w:rPr>
        <w:t>5</w:t>
      </w:r>
      <w:r w:rsidRPr="00AB2607">
        <w:rPr>
          <w:rFonts w:ascii="Times New Roman" w:eastAsia="Calibri" w:hAnsi="Times New Roman" w:cs="Times New Roman"/>
          <w:b/>
        </w:rPr>
        <w:t xml:space="preserve">. </w:t>
      </w:r>
      <w:r w:rsidR="002433ED" w:rsidRPr="00AB2607">
        <w:rPr>
          <w:rFonts w:ascii="Times New Roman" w:eastAsia="Calibri" w:hAnsi="Times New Roman" w:cs="Times New Roman"/>
          <w:b/>
        </w:rPr>
        <w:t>–</w:t>
      </w:r>
      <w:r w:rsidRPr="00AB2607">
        <w:rPr>
          <w:rFonts w:ascii="Times New Roman" w:eastAsia="Calibri" w:hAnsi="Times New Roman" w:cs="Times New Roman"/>
          <w:b/>
        </w:rPr>
        <w:t xml:space="preserve"> 202</w:t>
      </w:r>
      <w:r w:rsidR="00AB2607" w:rsidRPr="00AB2607">
        <w:rPr>
          <w:rFonts w:ascii="Times New Roman" w:eastAsia="Calibri" w:hAnsi="Times New Roman" w:cs="Times New Roman"/>
          <w:b/>
        </w:rPr>
        <w:t>7</w:t>
      </w:r>
      <w:r w:rsidR="002433ED" w:rsidRPr="00AB2607">
        <w:rPr>
          <w:rFonts w:ascii="Times New Roman" w:eastAsia="Calibri" w:hAnsi="Times New Roman" w:cs="Times New Roman"/>
          <w:b/>
        </w:rPr>
        <w:t>.</w:t>
      </w:r>
      <w:r w:rsidRPr="00AB2607">
        <w:rPr>
          <w:rFonts w:ascii="Times New Roman" w:eastAsia="Calibri" w:hAnsi="Times New Roman" w:cs="Times New Roman"/>
          <w:b/>
        </w:rPr>
        <w:t xml:space="preserve"> godine</w:t>
      </w:r>
    </w:p>
    <w:p w14:paraId="68EE6B6F" w14:textId="77777777" w:rsidR="00E35379" w:rsidRPr="00AB2607" w:rsidRDefault="00E35379" w:rsidP="00624C1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1D9C61D6" w14:textId="77777777" w:rsidR="00F471E7" w:rsidRPr="00AB260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B2607">
        <w:rPr>
          <w:rFonts w:ascii="Times New Roman" w:hAnsi="Times New Roman" w:cs="Times New Roman"/>
          <w:b/>
        </w:rPr>
        <w:t>PRIHODI I PRIMICI</w:t>
      </w:r>
    </w:p>
    <w:p w14:paraId="1362006C" w14:textId="6661C6E7" w:rsidR="00A6013C" w:rsidRPr="00AB2607" w:rsidRDefault="00A6013C" w:rsidP="00624C16">
      <w:pPr>
        <w:spacing w:line="240" w:lineRule="auto"/>
        <w:jc w:val="both"/>
        <w:rPr>
          <w:rFonts w:ascii="Times New Roman" w:hAnsi="Times New Roman" w:cs="Times New Roman"/>
        </w:rPr>
      </w:pPr>
      <w:r w:rsidRPr="00AB2607">
        <w:rPr>
          <w:rFonts w:ascii="Times New Roman" w:hAnsi="Times New Roman" w:cs="Times New Roman"/>
        </w:rPr>
        <w:t>Ukupni prihodi za 202</w:t>
      </w:r>
      <w:r w:rsidR="00044BAC">
        <w:rPr>
          <w:rFonts w:ascii="Times New Roman" w:hAnsi="Times New Roman" w:cs="Times New Roman"/>
        </w:rPr>
        <w:t>5</w:t>
      </w:r>
      <w:r w:rsidRPr="00AB2607">
        <w:rPr>
          <w:rFonts w:ascii="Times New Roman" w:hAnsi="Times New Roman" w:cs="Times New Roman"/>
        </w:rPr>
        <w:t>. godinu planirani su u iznosu</w:t>
      </w:r>
      <w:r w:rsidR="005B5F53" w:rsidRPr="00AB2607">
        <w:rPr>
          <w:rFonts w:ascii="Times New Roman" w:hAnsi="Times New Roman" w:cs="Times New Roman"/>
        </w:rPr>
        <w:t xml:space="preserve"> od</w:t>
      </w:r>
      <w:r w:rsidRPr="00AB2607">
        <w:rPr>
          <w:rFonts w:ascii="Times New Roman" w:hAnsi="Times New Roman" w:cs="Times New Roman"/>
        </w:rPr>
        <w:t xml:space="preserve"> </w:t>
      </w:r>
      <w:r w:rsidR="00B4557E" w:rsidRPr="00AB2607">
        <w:rPr>
          <w:rFonts w:ascii="Times New Roman" w:hAnsi="Times New Roman" w:cs="Times New Roman"/>
        </w:rPr>
        <w:t>6.</w:t>
      </w:r>
      <w:r w:rsidR="00371943">
        <w:rPr>
          <w:rFonts w:ascii="Times New Roman" w:hAnsi="Times New Roman" w:cs="Times New Roman"/>
        </w:rPr>
        <w:t>687.397</w:t>
      </w:r>
      <w:r w:rsidRPr="00AB2607">
        <w:rPr>
          <w:rFonts w:ascii="Times New Roman" w:hAnsi="Times New Roman" w:cs="Times New Roman"/>
        </w:rPr>
        <w:t xml:space="preserve"> EUR, za 202</w:t>
      </w:r>
      <w:r w:rsidR="008A21FD">
        <w:rPr>
          <w:rFonts w:ascii="Times New Roman" w:hAnsi="Times New Roman" w:cs="Times New Roman"/>
        </w:rPr>
        <w:t>6</w:t>
      </w:r>
      <w:r w:rsidRPr="00AB2607">
        <w:rPr>
          <w:rFonts w:ascii="Times New Roman" w:hAnsi="Times New Roman" w:cs="Times New Roman"/>
        </w:rPr>
        <w:t xml:space="preserve">. </w:t>
      </w:r>
      <w:r w:rsidR="005B5F53" w:rsidRPr="00AB2607">
        <w:rPr>
          <w:rFonts w:ascii="Times New Roman" w:hAnsi="Times New Roman" w:cs="Times New Roman"/>
        </w:rPr>
        <w:t xml:space="preserve">u iznosu od </w:t>
      </w:r>
      <w:r w:rsidR="008A21FD">
        <w:rPr>
          <w:rFonts w:ascii="Times New Roman" w:hAnsi="Times New Roman" w:cs="Times New Roman"/>
        </w:rPr>
        <w:t>6.7</w:t>
      </w:r>
      <w:r w:rsidR="00371943">
        <w:rPr>
          <w:rFonts w:ascii="Times New Roman" w:hAnsi="Times New Roman" w:cs="Times New Roman"/>
        </w:rPr>
        <w:t>70.722</w:t>
      </w:r>
      <w:r w:rsidRPr="00AB2607">
        <w:rPr>
          <w:rFonts w:ascii="Times New Roman" w:hAnsi="Times New Roman" w:cs="Times New Roman"/>
        </w:rPr>
        <w:t xml:space="preserve"> EUR i 202</w:t>
      </w:r>
      <w:r w:rsidR="008A21FD">
        <w:rPr>
          <w:rFonts w:ascii="Times New Roman" w:hAnsi="Times New Roman" w:cs="Times New Roman"/>
        </w:rPr>
        <w:t>7</w:t>
      </w:r>
      <w:r w:rsidRPr="00AB2607">
        <w:rPr>
          <w:rFonts w:ascii="Times New Roman" w:hAnsi="Times New Roman" w:cs="Times New Roman"/>
        </w:rPr>
        <w:t xml:space="preserve">. u iznosu </w:t>
      </w:r>
      <w:r w:rsidR="005B5F53" w:rsidRPr="00AB2607">
        <w:rPr>
          <w:rFonts w:ascii="Times New Roman" w:hAnsi="Times New Roman" w:cs="Times New Roman"/>
        </w:rPr>
        <w:t xml:space="preserve">od </w:t>
      </w:r>
      <w:r w:rsidR="008A21FD">
        <w:rPr>
          <w:rFonts w:ascii="Times New Roman" w:hAnsi="Times New Roman" w:cs="Times New Roman"/>
        </w:rPr>
        <w:t>6.67</w:t>
      </w:r>
      <w:r w:rsidR="00371943">
        <w:rPr>
          <w:rFonts w:ascii="Times New Roman" w:hAnsi="Times New Roman" w:cs="Times New Roman"/>
        </w:rPr>
        <w:t>3.548</w:t>
      </w:r>
      <w:r w:rsidRPr="00AB2607">
        <w:rPr>
          <w:rFonts w:ascii="Times New Roman" w:hAnsi="Times New Roman" w:cs="Times New Roman"/>
        </w:rPr>
        <w:t xml:space="preserve"> EUR.</w:t>
      </w:r>
    </w:p>
    <w:p w14:paraId="31B6F31F" w14:textId="219BDD5A" w:rsidR="00A6013C" w:rsidRPr="00AB2607" w:rsidRDefault="00A6013C" w:rsidP="00624C16">
      <w:pPr>
        <w:spacing w:line="240" w:lineRule="auto"/>
        <w:jc w:val="both"/>
        <w:rPr>
          <w:rFonts w:ascii="Times New Roman" w:hAnsi="Times New Roman" w:cs="Times New Roman"/>
        </w:rPr>
      </w:pPr>
      <w:r w:rsidRPr="00AB2607">
        <w:rPr>
          <w:rFonts w:ascii="Times New Roman" w:hAnsi="Times New Roman" w:cs="Times New Roman"/>
        </w:rPr>
        <w:t>U 202</w:t>
      </w:r>
      <w:r w:rsidR="008A21FD">
        <w:rPr>
          <w:rFonts w:ascii="Times New Roman" w:hAnsi="Times New Roman" w:cs="Times New Roman"/>
        </w:rPr>
        <w:t>5</w:t>
      </w:r>
      <w:r w:rsidRPr="00AB2607">
        <w:rPr>
          <w:rFonts w:ascii="Times New Roman" w:hAnsi="Times New Roman" w:cs="Times New Roman"/>
        </w:rPr>
        <w:t>. godini planirano je ostvarenje</w:t>
      </w:r>
      <w:r w:rsidR="00A35E28">
        <w:rPr>
          <w:rFonts w:ascii="Times New Roman" w:hAnsi="Times New Roman" w:cs="Times New Roman"/>
        </w:rPr>
        <w:t xml:space="preserve"> prihoda u iznosu </w:t>
      </w:r>
      <w:r w:rsidRPr="00AB2607">
        <w:rPr>
          <w:rFonts w:ascii="Times New Roman" w:hAnsi="Times New Roman" w:cs="Times New Roman"/>
        </w:rPr>
        <w:t xml:space="preserve"> </w:t>
      </w:r>
      <w:r w:rsidR="008A21FD">
        <w:rPr>
          <w:rFonts w:ascii="Times New Roman" w:hAnsi="Times New Roman" w:cs="Times New Roman"/>
        </w:rPr>
        <w:t>4.</w:t>
      </w:r>
      <w:r w:rsidR="00371943">
        <w:rPr>
          <w:rFonts w:ascii="Times New Roman" w:hAnsi="Times New Roman" w:cs="Times New Roman"/>
        </w:rPr>
        <w:t>464.447</w:t>
      </w:r>
      <w:r w:rsidRPr="00AB2607">
        <w:rPr>
          <w:rFonts w:ascii="Times New Roman" w:hAnsi="Times New Roman" w:cs="Times New Roman"/>
        </w:rPr>
        <w:t xml:space="preserve"> EUR iz izvora </w:t>
      </w:r>
      <w:r w:rsidR="00A35E28">
        <w:rPr>
          <w:rFonts w:ascii="Times New Roman" w:hAnsi="Times New Roman" w:cs="Times New Roman"/>
        </w:rPr>
        <w:t>o</w:t>
      </w:r>
      <w:r w:rsidRPr="00AB2607">
        <w:rPr>
          <w:rFonts w:ascii="Times New Roman" w:hAnsi="Times New Roman" w:cs="Times New Roman"/>
        </w:rPr>
        <w:t xml:space="preserve">pći prihodi i primici,   </w:t>
      </w:r>
      <w:r w:rsidR="008A21FD">
        <w:rPr>
          <w:rFonts w:ascii="Times New Roman" w:hAnsi="Times New Roman" w:cs="Times New Roman"/>
        </w:rPr>
        <w:t>689.000</w:t>
      </w:r>
      <w:r w:rsidRPr="00AB2607">
        <w:rPr>
          <w:rFonts w:ascii="Times New Roman" w:hAnsi="Times New Roman" w:cs="Times New Roman"/>
        </w:rPr>
        <w:t xml:space="preserve"> EUR iz izvora vlastiti priho</w:t>
      </w:r>
      <w:r w:rsidR="00A35E28">
        <w:rPr>
          <w:rFonts w:ascii="Times New Roman" w:hAnsi="Times New Roman" w:cs="Times New Roman"/>
        </w:rPr>
        <w:t>di</w:t>
      </w:r>
      <w:r w:rsidRPr="00AB2607">
        <w:rPr>
          <w:rFonts w:ascii="Times New Roman" w:hAnsi="Times New Roman" w:cs="Times New Roman"/>
        </w:rPr>
        <w:t xml:space="preserve">, </w:t>
      </w:r>
      <w:r w:rsidR="008A21FD">
        <w:rPr>
          <w:rFonts w:ascii="Times New Roman" w:hAnsi="Times New Roman" w:cs="Times New Roman"/>
        </w:rPr>
        <w:t>850.550</w:t>
      </w:r>
      <w:r w:rsidRPr="00AB2607">
        <w:rPr>
          <w:rFonts w:ascii="Times New Roman" w:hAnsi="Times New Roman" w:cs="Times New Roman"/>
        </w:rPr>
        <w:t xml:space="preserve"> EUR iz izvora </w:t>
      </w:r>
      <w:r w:rsidR="00A35E28">
        <w:rPr>
          <w:rFonts w:ascii="Times New Roman" w:hAnsi="Times New Roman" w:cs="Times New Roman"/>
        </w:rPr>
        <w:t>o</w:t>
      </w:r>
      <w:r w:rsidRPr="00AB2607">
        <w:rPr>
          <w:rFonts w:ascii="Times New Roman" w:hAnsi="Times New Roman" w:cs="Times New Roman"/>
        </w:rPr>
        <w:t>stali prihod</w:t>
      </w:r>
      <w:r w:rsidR="00A35E28">
        <w:rPr>
          <w:rFonts w:ascii="Times New Roman" w:hAnsi="Times New Roman" w:cs="Times New Roman"/>
        </w:rPr>
        <w:t>i</w:t>
      </w:r>
      <w:r w:rsidRPr="00AB2607">
        <w:rPr>
          <w:rFonts w:ascii="Times New Roman" w:hAnsi="Times New Roman" w:cs="Times New Roman"/>
        </w:rPr>
        <w:t xml:space="preserve"> za posebne namjene, </w:t>
      </w:r>
      <w:r w:rsidR="008A21FD">
        <w:rPr>
          <w:rFonts w:ascii="Times New Roman" w:hAnsi="Times New Roman" w:cs="Times New Roman"/>
        </w:rPr>
        <w:t>565.000</w:t>
      </w:r>
      <w:r w:rsidRPr="00AB2607">
        <w:rPr>
          <w:rFonts w:ascii="Times New Roman" w:hAnsi="Times New Roman" w:cs="Times New Roman"/>
        </w:rPr>
        <w:t xml:space="preserve"> EUR iz izvora</w:t>
      </w:r>
      <w:r w:rsidR="00A35E28">
        <w:rPr>
          <w:rFonts w:ascii="Times New Roman" w:hAnsi="Times New Roman" w:cs="Times New Roman"/>
        </w:rPr>
        <w:t xml:space="preserve"> p</w:t>
      </w:r>
      <w:r w:rsidRPr="00AB2607">
        <w:rPr>
          <w:rFonts w:ascii="Times New Roman" w:hAnsi="Times New Roman" w:cs="Times New Roman"/>
        </w:rPr>
        <w:t>omoći EU,</w:t>
      </w:r>
      <w:r w:rsidR="005F66CE" w:rsidRPr="00AB2607">
        <w:rPr>
          <w:rFonts w:ascii="Times New Roman" w:hAnsi="Times New Roman" w:cs="Times New Roman"/>
        </w:rPr>
        <w:t xml:space="preserve"> </w:t>
      </w:r>
      <w:r w:rsidR="00B4557E" w:rsidRPr="00AB2607">
        <w:rPr>
          <w:rFonts w:ascii="Times New Roman" w:hAnsi="Times New Roman" w:cs="Times New Roman"/>
        </w:rPr>
        <w:t>1</w:t>
      </w:r>
      <w:r w:rsidR="008A21FD">
        <w:rPr>
          <w:rFonts w:ascii="Times New Roman" w:hAnsi="Times New Roman" w:cs="Times New Roman"/>
        </w:rPr>
        <w:t xml:space="preserve">17.700 </w:t>
      </w:r>
      <w:r w:rsidRPr="00AB2607">
        <w:rPr>
          <w:rFonts w:ascii="Times New Roman" w:hAnsi="Times New Roman" w:cs="Times New Roman"/>
        </w:rPr>
        <w:t xml:space="preserve">EUR iz izvora </w:t>
      </w:r>
      <w:r w:rsidR="00A35E28">
        <w:rPr>
          <w:rFonts w:ascii="Times New Roman" w:hAnsi="Times New Roman" w:cs="Times New Roman"/>
        </w:rPr>
        <w:t>o</w:t>
      </w:r>
      <w:r w:rsidRPr="00AB2607">
        <w:rPr>
          <w:rFonts w:ascii="Times New Roman" w:hAnsi="Times New Roman" w:cs="Times New Roman"/>
        </w:rPr>
        <w:t xml:space="preserve">stale pomoći i darovnice,  </w:t>
      </w:r>
      <w:r w:rsidR="008A21FD">
        <w:rPr>
          <w:rFonts w:ascii="Times New Roman" w:hAnsi="Times New Roman" w:cs="Times New Roman"/>
        </w:rPr>
        <w:t>5</w:t>
      </w:r>
      <w:r w:rsidR="005F66CE" w:rsidRPr="00AB2607">
        <w:rPr>
          <w:rFonts w:ascii="Times New Roman" w:hAnsi="Times New Roman" w:cs="Times New Roman"/>
        </w:rPr>
        <w:t>0.000</w:t>
      </w:r>
      <w:r w:rsidRPr="00AB2607">
        <w:rPr>
          <w:rFonts w:ascii="Times New Roman" w:hAnsi="Times New Roman" w:cs="Times New Roman"/>
        </w:rPr>
        <w:t xml:space="preserve"> EUR iz izvora donacije i </w:t>
      </w:r>
      <w:r w:rsidR="005F66CE" w:rsidRPr="00AB2607">
        <w:rPr>
          <w:rFonts w:ascii="Times New Roman" w:hAnsi="Times New Roman" w:cs="Times New Roman"/>
        </w:rPr>
        <w:t>700</w:t>
      </w:r>
      <w:r w:rsidRPr="00AB2607">
        <w:rPr>
          <w:rFonts w:ascii="Times New Roman" w:hAnsi="Times New Roman" w:cs="Times New Roman"/>
        </w:rPr>
        <w:t xml:space="preserve"> EUR iz izvora </w:t>
      </w:r>
      <w:r w:rsidR="00A35E28">
        <w:rPr>
          <w:rFonts w:ascii="Times New Roman" w:hAnsi="Times New Roman" w:cs="Times New Roman"/>
        </w:rPr>
        <w:t>p</w:t>
      </w:r>
      <w:r w:rsidRPr="00AB2607">
        <w:rPr>
          <w:rFonts w:ascii="Times New Roman" w:hAnsi="Times New Roman" w:cs="Times New Roman"/>
        </w:rPr>
        <w:t>rodaj</w:t>
      </w:r>
      <w:r w:rsidR="00A35E28">
        <w:rPr>
          <w:rFonts w:ascii="Times New Roman" w:hAnsi="Times New Roman" w:cs="Times New Roman"/>
        </w:rPr>
        <w:t>a</w:t>
      </w:r>
      <w:r w:rsidRPr="00AB2607">
        <w:rPr>
          <w:rFonts w:ascii="Times New Roman" w:hAnsi="Times New Roman" w:cs="Times New Roman"/>
        </w:rPr>
        <w:t xml:space="preserve"> ili zamjen</w:t>
      </w:r>
      <w:r w:rsidR="00A35E28">
        <w:rPr>
          <w:rFonts w:ascii="Times New Roman" w:hAnsi="Times New Roman" w:cs="Times New Roman"/>
        </w:rPr>
        <w:t>a</w:t>
      </w:r>
      <w:r w:rsidRPr="00AB2607">
        <w:rPr>
          <w:rFonts w:ascii="Times New Roman" w:hAnsi="Times New Roman" w:cs="Times New Roman"/>
        </w:rPr>
        <w:t xml:space="preserve"> nefinancijske imovine. </w:t>
      </w:r>
    </w:p>
    <w:p w14:paraId="5299B577" w14:textId="147BB940" w:rsidR="00A6013C" w:rsidRPr="00AB2607" w:rsidRDefault="00A6013C" w:rsidP="00A6013C">
      <w:pPr>
        <w:spacing w:line="240" w:lineRule="auto"/>
        <w:jc w:val="both"/>
        <w:rPr>
          <w:rFonts w:ascii="Times New Roman" w:hAnsi="Times New Roman" w:cs="Times New Roman"/>
        </w:rPr>
      </w:pPr>
      <w:r w:rsidRPr="00AB2607">
        <w:rPr>
          <w:rFonts w:ascii="Times New Roman" w:hAnsi="Times New Roman" w:cs="Times New Roman"/>
        </w:rPr>
        <w:t>U 202</w:t>
      </w:r>
      <w:r w:rsidR="008A21FD">
        <w:rPr>
          <w:rFonts w:ascii="Times New Roman" w:hAnsi="Times New Roman" w:cs="Times New Roman"/>
        </w:rPr>
        <w:t>6</w:t>
      </w:r>
      <w:r w:rsidRPr="00AB2607">
        <w:rPr>
          <w:rFonts w:ascii="Times New Roman" w:hAnsi="Times New Roman" w:cs="Times New Roman"/>
        </w:rPr>
        <w:t xml:space="preserve">. godini planirano je ostvarenje </w:t>
      </w:r>
      <w:r w:rsidR="00A35E28">
        <w:rPr>
          <w:rFonts w:ascii="Times New Roman" w:hAnsi="Times New Roman" w:cs="Times New Roman"/>
        </w:rPr>
        <w:t xml:space="preserve">prihoda u iznosu </w:t>
      </w:r>
      <w:r w:rsidR="008A21FD">
        <w:rPr>
          <w:rFonts w:ascii="Times New Roman" w:hAnsi="Times New Roman" w:cs="Times New Roman"/>
        </w:rPr>
        <w:t>4.</w:t>
      </w:r>
      <w:r w:rsidR="00371943">
        <w:rPr>
          <w:rFonts w:ascii="Times New Roman" w:hAnsi="Times New Roman" w:cs="Times New Roman"/>
        </w:rPr>
        <w:t>484.772</w:t>
      </w:r>
      <w:r w:rsidR="00596C4B" w:rsidRPr="00AB2607">
        <w:rPr>
          <w:rFonts w:ascii="Times New Roman" w:hAnsi="Times New Roman" w:cs="Times New Roman"/>
        </w:rPr>
        <w:t xml:space="preserve"> </w:t>
      </w:r>
      <w:r w:rsidRPr="00AB2607">
        <w:rPr>
          <w:rFonts w:ascii="Times New Roman" w:hAnsi="Times New Roman" w:cs="Times New Roman"/>
        </w:rPr>
        <w:t xml:space="preserve">EUR iz izvora </w:t>
      </w:r>
      <w:r w:rsidR="00A35E28">
        <w:rPr>
          <w:rFonts w:ascii="Times New Roman" w:hAnsi="Times New Roman" w:cs="Times New Roman"/>
        </w:rPr>
        <w:t>o</w:t>
      </w:r>
      <w:r w:rsidRPr="00AB2607">
        <w:rPr>
          <w:rFonts w:ascii="Times New Roman" w:hAnsi="Times New Roman" w:cs="Times New Roman"/>
        </w:rPr>
        <w:t xml:space="preserve">pći prihodi i primici,  </w:t>
      </w:r>
      <w:r w:rsidR="008A21FD">
        <w:rPr>
          <w:rFonts w:ascii="Times New Roman" w:hAnsi="Times New Roman" w:cs="Times New Roman"/>
        </w:rPr>
        <w:t>694.00</w:t>
      </w:r>
      <w:r w:rsidRPr="00AB2607">
        <w:rPr>
          <w:rFonts w:ascii="Times New Roman" w:hAnsi="Times New Roman" w:cs="Times New Roman"/>
        </w:rPr>
        <w:t xml:space="preserve"> EUR iz izvora vlastiti prihod</w:t>
      </w:r>
      <w:r w:rsidR="00A35E28">
        <w:rPr>
          <w:rFonts w:ascii="Times New Roman" w:hAnsi="Times New Roman" w:cs="Times New Roman"/>
        </w:rPr>
        <w:t>i</w:t>
      </w:r>
      <w:r w:rsidRPr="00AB2607">
        <w:rPr>
          <w:rFonts w:ascii="Times New Roman" w:hAnsi="Times New Roman" w:cs="Times New Roman"/>
        </w:rPr>
        <w:t xml:space="preserve">, </w:t>
      </w:r>
      <w:r w:rsidR="008A21FD">
        <w:rPr>
          <w:rFonts w:ascii="Times New Roman" w:hAnsi="Times New Roman" w:cs="Times New Roman"/>
        </w:rPr>
        <w:t>850.550</w:t>
      </w:r>
      <w:r w:rsidRPr="00AB2607">
        <w:rPr>
          <w:rFonts w:ascii="Times New Roman" w:hAnsi="Times New Roman" w:cs="Times New Roman"/>
        </w:rPr>
        <w:t xml:space="preserve"> EUR iz izvora </w:t>
      </w:r>
      <w:r w:rsidR="00A35E28">
        <w:rPr>
          <w:rFonts w:ascii="Times New Roman" w:hAnsi="Times New Roman" w:cs="Times New Roman"/>
        </w:rPr>
        <w:t>o</w:t>
      </w:r>
      <w:r w:rsidRPr="00AB2607">
        <w:rPr>
          <w:rFonts w:ascii="Times New Roman" w:hAnsi="Times New Roman" w:cs="Times New Roman"/>
        </w:rPr>
        <w:t>stali prihod</w:t>
      </w:r>
      <w:r w:rsidR="00A35E28">
        <w:rPr>
          <w:rFonts w:ascii="Times New Roman" w:hAnsi="Times New Roman" w:cs="Times New Roman"/>
        </w:rPr>
        <w:t>i</w:t>
      </w:r>
      <w:r w:rsidRPr="00AB2607">
        <w:rPr>
          <w:rFonts w:ascii="Times New Roman" w:hAnsi="Times New Roman" w:cs="Times New Roman"/>
        </w:rPr>
        <w:t xml:space="preserve"> za posebne namjene, </w:t>
      </w:r>
      <w:r w:rsidR="008A21FD">
        <w:rPr>
          <w:rFonts w:ascii="Times New Roman" w:hAnsi="Times New Roman" w:cs="Times New Roman"/>
        </w:rPr>
        <w:t>615.000</w:t>
      </w:r>
      <w:r w:rsidRPr="00AB2607">
        <w:rPr>
          <w:rFonts w:ascii="Times New Roman" w:hAnsi="Times New Roman" w:cs="Times New Roman"/>
        </w:rPr>
        <w:t xml:space="preserve"> EUR iz izvora </w:t>
      </w:r>
      <w:r w:rsidR="00A35E28">
        <w:rPr>
          <w:rFonts w:ascii="Times New Roman" w:hAnsi="Times New Roman" w:cs="Times New Roman"/>
        </w:rPr>
        <w:t>p</w:t>
      </w:r>
      <w:r w:rsidRPr="00AB2607">
        <w:rPr>
          <w:rFonts w:ascii="Times New Roman" w:hAnsi="Times New Roman" w:cs="Times New Roman"/>
        </w:rPr>
        <w:t>omoći EU,</w:t>
      </w:r>
      <w:r w:rsidR="005F66CE" w:rsidRPr="00AB2607">
        <w:rPr>
          <w:rFonts w:ascii="Times New Roman" w:hAnsi="Times New Roman" w:cs="Times New Roman"/>
        </w:rPr>
        <w:t xml:space="preserve"> </w:t>
      </w:r>
      <w:r w:rsidR="008A21FD">
        <w:rPr>
          <w:rFonts w:ascii="Times New Roman" w:hAnsi="Times New Roman" w:cs="Times New Roman"/>
        </w:rPr>
        <w:t>125.700</w:t>
      </w:r>
      <w:r w:rsidRPr="00AB2607">
        <w:rPr>
          <w:rFonts w:ascii="Times New Roman" w:hAnsi="Times New Roman" w:cs="Times New Roman"/>
        </w:rPr>
        <w:t xml:space="preserve"> EUR iz izvora </w:t>
      </w:r>
      <w:r w:rsidR="00A35E28">
        <w:rPr>
          <w:rFonts w:ascii="Times New Roman" w:hAnsi="Times New Roman" w:cs="Times New Roman"/>
        </w:rPr>
        <w:t>o</w:t>
      </w:r>
      <w:r w:rsidRPr="00AB2607">
        <w:rPr>
          <w:rFonts w:ascii="Times New Roman" w:hAnsi="Times New Roman" w:cs="Times New Roman"/>
        </w:rPr>
        <w:t>stale pomoći i darovnice</w:t>
      </w:r>
      <w:r w:rsidR="008A21FD">
        <w:rPr>
          <w:rFonts w:ascii="Times New Roman" w:hAnsi="Times New Roman" w:cs="Times New Roman"/>
        </w:rPr>
        <w:t xml:space="preserve"> </w:t>
      </w:r>
      <w:r w:rsidRPr="00AB2607">
        <w:rPr>
          <w:rFonts w:ascii="Times New Roman" w:hAnsi="Times New Roman" w:cs="Times New Roman"/>
        </w:rPr>
        <w:t>i 7</w:t>
      </w:r>
      <w:r w:rsidR="005F66CE" w:rsidRPr="00AB2607">
        <w:rPr>
          <w:rFonts w:ascii="Times New Roman" w:hAnsi="Times New Roman" w:cs="Times New Roman"/>
        </w:rPr>
        <w:t>00</w:t>
      </w:r>
      <w:r w:rsidRPr="00AB2607">
        <w:rPr>
          <w:rFonts w:ascii="Times New Roman" w:hAnsi="Times New Roman" w:cs="Times New Roman"/>
        </w:rPr>
        <w:t xml:space="preserve"> EUR iz izvora </w:t>
      </w:r>
      <w:r w:rsidR="00A35E28">
        <w:rPr>
          <w:rFonts w:ascii="Times New Roman" w:hAnsi="Times New Roman" w:cs="Times New Roman"/>
        </w:rPr>
        <w:t>p</w:t>
      </w:r>
      <w:r w:rsidRPr="00AB2607">
        <w:rPr>
          <w:rFonts w:ascii="Times New Roman" w:hAnsi="Times New Roman" w:cs="Times New Roman"/>
        </w:rPr>
        <w:t>rodaj</w:t>
      </w:r>
      <w:r w:rsidR="00A35E28">
        <w:rPr>
          <w:rFonts w:ascii="Times New Roman" w:hAnsi="Times New Roman" w:cs="Times New Roman"/>
        </w:rPr>
        <w:t>a</w:t>
      </w:r>
      <w:r w:rsidRPr="00AB2607">
        <w:rPr>
          <w:rFonts w:ascii="Times New Roman" w:hAnsi="Times New Roman" w:cs="Times New Roman"/>
        </w:rPr>
        <w:t xml:space="preserve"> ili zamjen</w:t>
      </w:r>
      <w:r w:rsidR="00A35E28">
        <w:rPr>
          <w:rFonts w:ascii="Times New Roman" w:hAnsi="Times New Roman" w:cs="Times New Roman"/>
        </w:rPr>
        <w:t>a</w:t>
      </w:r>
      <w:r w:rsidRPr="00AB2607">
        <w:rPr>
          <w:rFonts w:ascii="Times New Roman" w:hAnsi="Times New Roman" w:cs="Times New Roman"/>
        </w:rPr>
        <w:t xml:space="preserve"> nefinancijske imovine. </w:t>
      </w:r>
    </w:p>
    <w:p w14:paraId="6DD381D3" w14:textId="321EAF41" w:rsidR="00A6013C" w:rsidRPr="00AB2607" w:rsidRDefault="00A6013C" w:rsidP="00A6013C">
      <w:pPr>
        <w:spacing w:line="240" w:lineRule="auto"/>
        <w:jc w:val="both"/>
        <w:rPr>
          <w:rFonts w:ascii="Times New Roman" w:hAnsi="Times New Roman" w:cs="Times New Roman"/>
        </w:rPr>
      </w:pPr>
      <w:r w:rsidRPr="00AB2607">
        <w:rPr>
          <w:rFonts w:ascii="Times New Roman" w:hAnsi="Times New Roman" w:cs="Times New Roman"/>
        </w:rPr>
        <w:t>U 20</w:t>
      </w:r>
      <w:r w:rsidR="008A21FD">
        <w:rPr>
          <w:rFonts w:ascii="Times New Roman" w:hAnsi="Times New Roman" w:cs="Times New Roman"/>
        </w:rPr>
        <w:t>27</w:t>
      </w:r>
      <w:r w:rsidRPr="00AB2607">
        <w:rPr>
          <w:rFonts w:ascii="Times New Roman" w:hAnsi="Times New Roman" w:cs="Times New Roman"/>
        </w:rPr>
        <w:t>. godini planirano je ostvarenje</w:t>
      </w:r>
      <w:r w:rsidR="00A35E28">
        <w:rPr>
          <w:rFonts w:ascii="Times New Roman" w:hAnsi="Times New Roman" w:cs="Times New Roman"/>
        </w:rPr>
        <w:t xml:space="preserve"> prihoda u iznosu</w:t>
      </w:r>
      <w:r w:rsidRPr="00AB2607">
        <w:rPr>
          <w:rFonts w:ascii="Times New Roman" w:hAnsi="Times New Roman" w:cs="Times New Roman"/>
        </w:rPr>
        <w:t xml:space="preserve"> </w:t>
      </w:r>
      <w:r w:rsidR="00596C4B" w:rsidRPr="00AB2607">
        <w:rPr>
          <w:rFonts w:ascii="Times New Roman" w:hAnsi="Times New Roman" w:cs="Times New Roman"/>
        </w:rPr>
        <w:t>4.</w:t>
      </w:r>
      <w:r w:rsidR="008A21FD">
        <w:rPr>
          <w:rFonts w:ascii="Times New Roman" w:hAnsi="Times New Roman" w:cs="Times New Roman"/>
        </w:rPr>
        <w:t>505.</w:t>
      </w:r>
      <w:r w:rsidR="00371943">
        <w:rPr>
          <w:rFonts w:ascii="Times New Roman" w:hAnsi="Times New Roman" w:cs="Times New Roman"/>
        </w:rPr>
        <w:t>198</w:t>
      </w:r>
      <w:r w:rsidRPr="00AB2607">
        <w:rPr>
          <w:rFonts w:ascii="Times New Roman" w:hAnsi="Times New Roman" w:cs="Times New Roman"/>
        </w:rPr>
        <w:t xml:space="preserve"> EUR iz izvora </w:t>
      </w:r>
      <w:r w:rsidR="00A35E28">
        <w:rPr>
          <w:rFonts w:ascii="Times New Roman" w:hAnsi="Times New Roman" w:cs="Times New Roman"/>
        </w:rPr>
        <w:t>o</w:t>
      </w:r>
      <w:r w:rsidRPr="00AB2607">
        <w:rPr>
          <w:rFonts w:ascii="Times New Roman" w:hAnsi="Times New Roman" w:cs="Times New Roman"/>
        </w:rPr>
        <w:t xml:space="preserve">pći prihodi i primici, </w:t>
      </w:r>
      <w:r w:rsidR="008A21FD">
        <w:rPr>
          <w:rFonts w:ascii="Times New Roman" w:hAnsi="Times New Roman" w:cs="Times New Roman"/>
        </w:rPr>
        <w:t>704.000</w:t>
      </w:r>
      <w:r w:rsidR="005F66CE" w:rsidRPr="00AB2607">
        <w:rPr>
          <w:rFonts w:ascii="Times New Roman" w:hAnsi="Times New Roman" w:cs="Times New Roman"/>
        </w:rPr>
        <w:t xml:space="preserve"> </w:t>
      </w:r>
      <w:r w:rsidRPr="00AB2607">
        <w:rPr>
          <w:rFonts w:ascii="Times New Roman" w:hAnsi="Times New Roman" w:cs="Times New Roman"/>
        </w:rPr>
        <w:t>EUR iz izvora vlastiti prihod</w:t>
      </w:r>
      <w:r w:rsidR="00A35E28">
        <w:rPr>
          <w:rFonts w:ascii="Times New Roman" w:hAnsi="Times New Roman" w:cs="Times New Roman"/>
        </w:rPr>
        <w:t>i</w:t>
      </w:r>
      <w:r w:rsidRPr="00AB2607">
        <w:rPr>
          <w:rFonts w:ascii="Times New Roman" w:hAnsi="Times New Roman" w:cs="Times New Roman"/>
        </w:rPr>
        <w:t xml:space="preserve">, </w:t>
      </w:r>
      <w:r w:rsidR="008A21FD">
        <w:rPr>
          <w:rFonts w:ascii="Times New Roman" w:hAnsi="Times New Roman" w:cs="Times New Roman"/>
        </w:rPr>
        <w:t>850.550</w:t>
      </w:r>
      <w:r w:rsidRPr="00AB2607">
        <w:rPr>
          <w:rFonts w:ascii="Times New Roman" w:hAnsi="Times New Roman" w:cs="Times New Roman"/>
        </w:rPr>
        <w:t xml:space="preserve"> EUR iz izvora </w:t>
      </w:r>
      <w:r w:rsidR="00A35E28">
        <w:rPr>
          <w:rFonts w:ascii="Times New Roman" w:hAnsi="Times New Roman" w:cs="Times New Roman"/>
        </w:rPr>
        <w:t>o</w:t>
      </w:r>
      <w:r w:rsidRPr="00AB2607">
        <w:rPr>
          <w:rFonts w:ascii="Times New Roman" w:hAnsi="Times New Roman" w:cs="Times New Roman"/>
        </w:rPr>
        <w:t>stali prihod</w:t>
      </w:r>
      <w:r w:rsidR="00A35E28">
        <w:rPr>
          <w:rFonts w:ascii="Times New Roman" w:hAnsi="Times New Roman" w:cs="Times New Roman"/>
        </w:rPr>
        <w:t>i</w:t>
      </w:r>
      <w:r w:rsidRPr="00AB2607">
        <w:rPr>
          <w:rFonts w:ascii="Times New Roman" w:hAnsi="Times New Roman" w:cs="Times New Roman"/>
        </w:rPr>
        <w:t xml:space="preserve"> za posebne namjene, </w:t>
      </w:r>
      <w:r w:rsidR="008A21FD">
        <w:rPr>
          <w:rFonts w:ascii="Times New Roman" w:hAnsi="Times New Roman" w:cs="Times New Roman"/>
        </w:rPr>
        <w:t>410.000</w:t>
      </w:r>
      <w:r w:rsidRPr="00AB2607">
        <w:rPr>
          <w:rFonts w:ascii="Times New Roman" w:hAnsi="Times New Roman" w:cs="Times New Roman"/>
        </w:rPr>
        <w:t xml:space="preserve"> EUR iz izvora </w:t>
      </w:r>
      <w:r w:rsidR="00A35E28">
        <w:rPr>
          <w:rFonts w:ascii="Times New Roman" w:hAnsi="Times New Roman" w:cs="Times New Roman"/>
        </w:rPr>
        <w:t>p</w:t>
      </w:r>
      <w:r w:rsidRPr="00AB2607">
        <w:rPr>
          <w:rFonts w:ascii="Times New Roman" w:hAnsi="Times New Roman" w:cs="Times New Roman"/>
        </w:rPr>
        <w:t xml:space="preserve">omoći EU, </w:t>
      </w:r>
      <w:r w:rsidR="008A21FD">
        <w:rPr>
          <w:rFonts w:ascii="Times New Roman" w:hAnsi="Times New Roman" w:cs="Times New Roman"/>
        </w:rPr>
        <w:t>128.100</w:t>
      </w:r>
      <w:r w:rsidRPr="00AB2607">
        <w:rPr>
          <w:rFonts w:ascii="Times New Roman" w:hAnsi="Times New Roman" w:cs="Times New Roman"/>
        </w:rPr>
        <w:t xml:space="preserve"> EUR iz izvora </w:t>
      </w:r>
      <w:r w:rsidR="00A35E28">
        <w:rPr>
          <w:rFonts w:ascii="Times New Roman" w:hAnsi="Times New Roman" w:cs="Times New Roman"/>
        </w:rPr>
        <w:t>o</w:t>
      </w:r>
      <w:r w:rsidRPr="00AB2607">
        <w:rPr>
          <w:rFonts w:ascii="Times New Roman" w:hAnsi="Times New Roman" w:cs="Times New Roman"/>
        </w:rPr>
        <w:t xml:space="preserve">stale pomoći i darovnice, </w:t>
      </w:r>
      <w:r w:rsidR="008A21FD">
        <w:rPr>
          <w:rFonts w:ascii="Times New Roman" w:hAnsi="Times New Roman" w:cs="Times New Roman"/>
        </w:rPr>
        <w:t>75</w:t>
      </w:r>
      <w:r w:rsidR="005F66CE" w:rsidRPr="00AB2607">
        <w:rPr>
          <w:rFonts w:ascii="Times New Roman" w:hAnsi="Times New Roman" w:cs="Times New Roman"/>
        </w:rPr>
        <w:t>.000</w:t>
      </w:r>
      <w:r w:rsidRPr="00AB2607">
        <w:rPr>
          <w:rFonts w:ascii="Times New Roman" w:hAnsi="Times New Roman" w:cs="Times New Roman"/>
        </w:rPr>
        <w:t xml:space="preserve"> EUR iz izvora donacije i 7</w:t>
      </w:r>
      <w:r w:rsidR="005F66CE" w:rsidRPr="00AB2607">
        <w:rPr>
          <w:rFonts w:ascii="Times New Roman" w:hAnsi="Times New Roman" w:cs="Times New Roman"/>
        </w:rPr>
        <w:t>00</w:t>
      </w:r>
      <w:r w:rsidRPr="00AB2607">
        <w:rPr>
          <w:rFonts w:ascii="Times New Roman" w:hAnsi="Times New Roman" w:cs="Times New Roman"/>
        </w:rPr>
        <w:t xml:space="preserve"> EUR iz izvora </w:t>
      </w:r>
      <w:r w:rsidR="00A35E28">
        <w:rPr>
          <w:rFonts w:ascii="Times New Roman" w:hAnsi="Times New Roman" w:cs="Times New Roman"/>
        </w:rPr>
        <w:t>p</w:t>
      </w:r>
      <w:r w:rsidRPr="00AB2607">
        <w:rPr>
          <w:rFonts w:ascii="Times New Roman" w:hAnsi="Times New Roman" w:cs="Times New Roman"/>
        </w:rPr>
        <w:t>rodaj</w:t>
      </w:r>
      <w:r w:rsidR="00A35E28">
        <w:rPr>
          <w:rFonts w:ascii="Times New Roman" w:hAnsi="Times New Roman" w:cs="Times New Roman"/>
        </w:rPr>
        <w:t>a</w:t>
      </w:r>
      <w:r w:rsidRPr="00AB2607">
        <w:rPr>
          <w:rFonts w:ascii="Times New Roman" w:hAnsi="Times New Roman" w:cs="Times New Roman"/>
        </w:rPr>
        <w:t xml:space="preserve"> ili zamjen</w:t>
      </w:r>
      <w:r w:rsidR="00A35E28">
        <w:rPr>
          <w:rFonts w:ascii="Times New Roman" w:hAnsi="Times New Roman" w:cs="Times New Roman"/>
        </w:rPr>
        <w:t>a</w:t>
      </w:r>
      <w:r w:rsidRPr="00AB2607">
        <w:rPr>
          <w:rFonts w:ascii="Times New Roman" w:hAnsi="Times New Roman" w:cs="Times New Roman"/>
        </w:rPr>
        <w:t xml:space="preserve"> nefinancijske imovine. </w:t>
      </w:r>
    </w:p>
    <w:p w14:paraId="6628758F" w14:textId="77777777" w:rsidR="007B6A4C" w:rsidRPr="00AB2607" w:rsidRDefault="007B6A4C" w:rsidP="007B6A4C">
      <w:pPr>
        <w:tabs>
          <w:tab w:val="left" w:pos="1152"/>
        </w:tabs>
        <w:spacing w:line="240" w:lineRule="auto"/>
        <w:jc w:val="both"/>
        <w:rPr>
          <w:rFonts w:ascii="Times New Roman" w:hAnsi="Times New Roman" w:cs="Times New Roman"/>
        </w:rPr>
      </w:pPr>
      <w:r w:rsidRPr="00AB2607">
        <w:rPr>
          <w:rFonts w:ascii="Times New Roman" w:hAnsi="Times New Roman" w:cs="Times New Roman"/>
        </w:rPr>
        <w:t xml:space="preserve">Najvažnija skupina prihoda po visini planiranih iznosa u sljedećem trogodišnjem razdoblju su prihodi iz općeg izvora financiranja odnosno državnog proračuna za financiranje rashoda za zaposlene i materijalnih troškova iz sredstava programskih ugovora, ovaj izvor prihoda čini više od 67%  ukupnih prihoda u svakoj od tri godine. </w:t>
      </w:r>
    </w:p>
    <w:p w14:paraId="3932DD2B" w14:textId="77777777" w:rsidR="00A64D16" w:rsidRPr="00AB2607" w:rsidRDefault="007B6A4C" w:rsidP="00A64D16">
      <w:pPr>
        <w:tabs>
          <w:tab w:val="left" w:pos="1152"/>
        </w:tabs>
        <w:spacing w:line="240" w:lineRule="auto"/>
        <w:jc w:val="both"/>
        <w:rPr>
          <w:rFonts w:ascii="Times New Roman" w:hAnsi="Times New Roman" w:cs="Times New Roman"/>
        </w:rPr>
      </w:pPr>
      <w:r w:rsidRPr="00AB2607">
        <w:rPr>
          <w:rFonts w:ascii="Times New Roman" w:hAnsi="Times New Roman" w:cs="Times New Roman"/>
        </w:rPr>
        <w:t xml:space="preserve">Sljedeća skupina značajnih prihoda su vlastiti prihodi ostvareni na tržištu  i prihodi za posebne namjene </w:t>
      </w:r>
      <w:r w:rsidR="00A64D16" w:rsidRPr="00AB2607">
        <w:rPr>
          <w:rFonts w:ascii="Times New Roman" w:hAnsi="Times New Roman" w:cs="Times New Roman"/>
        </w:rPr>
        <w:t xml:space="preserve">čiji je </w:t>
      </w:r>
      <w:r w:rsidR="00A35E28">
        <w:rPr>
          <w:rFonts w:ascii="Times New Roman" w:hAnsi="Times New Roman" w:cs="Times New Roman"/>
        </w:rPr>
        <w:t xml:space="preserve">ukupan </w:t>
      </w:r>
      <w:r w:rsidR="00A64D16" w:rsidRPr="00AB2607">
        <w:rPr>
          <w:rFonts w:ascii="Times New Roman" w:hAnsi="Times New Roman" w:cs="Times New Roman"/>
        </w:rPr>
        <w:t xml:space="preserve">udio </w:t>
      </w:r>
      <w:r w:rsidR="008A21FD">
        <w:rPr>
          <w:rFonts w:ascii="Times New Roman" w:hAnsi="Times New Roman" w:cs="Times New Roman"/>
        </w:rPr>
        <w:t>34%</w:t>
      </w:r>
      <w:r w:rsidR="00A64D16" w:rsidRPr="00AB2607">
        <w:rPr>
          <w:rFonts w:ascii="Times New Roman" w:hAnsi="Times New Roman" w:cs="Times New Roman"/>
        </w:rPr>
        <w:t xml:space="preserve"> u ukupnim prihodima. </w:t>
      </w:r>
      <w:r w:rsidRPr="00AB2607">
        <w:rPr>
          <w:rFonts w:ascii="Times New Roman" w:hAnsi="Times New Roman" w:cs="Times New Roman"/>
        </w:rPr>
        <w:t xml:space="preserve"> </w:t>
      </w:r>
    </w:p>
    <w:p w14:paraId="6F5B9BE0" w14:textId="77777777" w:rsidR="00A6013C" w:rsidRPr="00AB2607" w:rsidRDefault="00A6013C" w:rsidP="00A64D16">
      <w:pPr>
        <w:tabs>
          <w:tab w:val="left" w:pos="1152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2877D7BD" w14:textId="77777777" w:rsidR="00F471E7" w:rsidRPr="00AB260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B2607">
        <w:rPr>
          <w:rFonts w:ascii="Times New Roman" w:hAnsi="Times New Roman" w:cs="Times New Roman"/>
          <w:b/>
        </w:rPr>
        <w:t>RASHODI I IZDACI</w:t>
      </w:r>
    </w:p>
    <w:p w14:paraId="189C2EC7" w14:textId="30C4A981" w:rsidR="00DB145C" w:rsidRPr="00AB2607" w:rsidRDefault="00DB145C" w:rsidP="009074C0">
      <w:pPr>
        <w:tabs>
          <w:tab w:val="left" w:pos="1308"/>
        </w:tabs>
        <w:spacing w:line="240" w:lineRule="auto"/>
        <w:jc w:val="both"/>
        <w:rPr>
          <w:rFonts w:ascii="Times New Roman" w:hAnsi="Times New Roman" w:cs="Times New Roman"/>
        </w:rPr>
      </w:pPr>
      <w:r w:rsidRPr="00AB2607">
        <w:rPr>
          <w:rFonts w:ascii="Times New Roman" w:hAnsi="Times New Roman" w:cs="Times New Roman"/>
        </w:rPr>
        <w:t>Ukupni rashodi za 202</w:t>
      </w:r>
      <w:r w:rsidR="008A21FD">
        <w:rPr>
          <w:rFonts w:ascii="Times New Roman" w:hAnsi="Times New Roman" w:cs="Times New Roman"/>
        </w:rPr>
        <w:t>5</w:t>
      </w:r>
      <w:r w:rsidRPr="00AB2607">
        <w:rPr>
          <w:rFonts w:ascii="Times New Roman" w:hAnsi="Times New Roman" w:cs="Times New Roman"/>
        </w:rPr>
        <w:t>. godinu planirani su u iznosu</w:t>
      </w:r>
      <w:r w:rsidR="005B5F53" w:rsidRPr="00AB2607">
        <w:rPr>
          <w:rFonts w:ascii="Times New Roman" w:hAnsi="Times New Roman" w:cs="Times New Roman"/>
        </w:rPr>
        <w:t xml:space="preserve"> od</w:t>
      </w:r>
      <w:r w:rsidRPr="00AB2607">
        <w:rPr>
          <w:rFonts w:ascii="Times New Roman" w:hAnsi="Times New Roman" w:cs="Times New Roman"/>
        </w:rPr>
        <w:t xml:space="preserve"> </w:t>
      </w:r>
      <w:r w:rsidR="00371943">
        <w:rPr>
          <w:rFonts w:ascii="Times New Roman" w:hAnsi="Times New Roman" w:cs="Times New Roman"/>
        </w:rPr>
        <w:t>6.878.835</w:t>
      </w:r>
      <w:r w:rsidRPr="00AB2607">
        <w:rPr>
          <w:rFonts w:ascii="Times New Roman" w:hAnsi="Times New Roman" w:cs="Times New Roman"/>
        </w:rPr>
        <w:t xml:space="preserve"> EUR, za 202</w:t>
      </w:r>
      <w:r w:rsidR="008A21FD">
        <w:rPr>
          <w:rFonts w:ascii="Times New Roman" w:hAnsi="Times New Roman" w:cs="Times New Roman"/>
        </w:rPr>
        <w:t>6</w:t>
      </w:r>
      <w:r w:rsidRPr="00AB2607">
        <w:rPr>
          <w:rFonts w:ascii="Times New Roman" w:hAnsi="Times New Roman" w:cs="Times New Roman"/>
        </w:rPr>
        <w:t xml:space="preserve">. </w:t>
      </w:r>
      <w:r w:rsidR="005B5F53" w:rsidRPr="00AB2607">
        <w:rPr>
          <w:rFonts w:ascii="Times New Roman" w:hAnsi="Times New Roman" w:cs="Times New Roman"/>
        </w:rPr>
        <w:t xml:space="preserve">iznose </w:t>
      </w:r>
      <w:r w:rsidR="008A21FD">
        <w:rPr>
          <w:rFonts w:ascii="Times New Roman" w:hAnsi="Times New Roman" w:cs="Times New Roman"/>
        </w:rPr>
        <w:t>6.5</w:t>
      </w:r>
      <w:r w:rsidR="00371943">
        <w:rPr>
          <w:rFonts w:ascii="Times New Roman" w:hAnsi="Times New Roman" w:cs="Times New Roman"/>
        </w:rPr>
        <w:t>20.760</w:t>
      </w:r>
      <w:r w:rsidRPr="00AB2607">
        <w:rPr>
          <w:rFonts w:ascii="Times New Roman" w:hAnsi="Times New Roman" w:cs="Times New Roman"/>
        </w:rPr>
        <w:t xml:space="preserve"> EUR i 202</w:t>
      </w:r>
      <w:r w:rsidR="008A21FD">
        <w:rPr>
          <w:rFonts w:ascii="Times New Roman" w:hAnsi="Times New Roman" w:cs="Times New Roman"/>
        </w:rPr>
        <w:t>7</w:t>
      </w:r>
      <w:r w:rsidRPr="00AB2607">
        <w:rPr>
          <w:rFonts w:ascii="Times New Roman" w:hAnsi="Times New Roman" w:cs="Times New Roman"/>
        </w:rPr>
        <w:t>. u iznosu</w:t>
      </w:r>
      <w:r w:rsidR="005B5F53" w:rsidRPr="00AB2607">
        <w:rPr>
          <w:rFonts w:ascii="Times New Roman" w:hAnsi="Times New Roman" w:cs="Times New Roman"/>
        </w:rPr>
        <w:t xml:space="preserve"> od</w:t>
      </w:r>
      <w:r w:rsidRPr="00AB2607">
        <w:rPr>
          <w:rFonts w:ascii="Times New Roman" w:hAnsi="Times New Roman" w:cs="Times New Roman"/>
        </w:rPr>
        <w:t xml:space="preserve"> </w:t>
      </w:r>
      <w:r w:rsidR="009074C0" w:rsidRPr="00AB2607">
        <w:rPr>
          <w:rFonts w:ascii="Times New Roman" w:hAnsi="Times New Roman" w:cs="Times New Roman"/>
        </w:rPr>
        <w:t>6.</w:t>
      </w:r>
      <w:r w:rsidR="008A21FD">
        <w:rPr>
          <w:rFonts w:ascii="Times New Roman" w:hAnsi="Times New Roman" w:cs="Times New Roman"/>
        </w:rPr>
        <w:t>237.</w:t>
      </w:r>
      <w:r w:rsidR="00371943">
        <w:rPr>
          <w:rFonts w:ascii="Times New Roman" w:hAnsi="Times New Roman" w:cs="Times New Roman"/>
        </w:rPr>
        <w:t>121</w:t>
      </w:r>
      <w:r w:rsidRPr="00AB2607">
        <w:rPr>
          <w:rFonts w:ascii="Times New Roman" w:hAnsi="Times New Roman" w:cs="Times New Roman"/>
        </w:rPr>
        <w:t xml:space="preserve"> EUR.</w:t>
      </w:r>
    </w:p>
    <w:p w14:paraId="3ABB35DA" w14:textId="77777777" w:rsidR="00A64D16" w:rsidRPr="00AB2607" w:rsidRDefault="00BA2549" w:rsidP="009074C0">
      <w:pPr>
        <w:tabs>
          <w:tab w:val="left" w:pos="1308"/>
        </w:tabs>
        <w:spacing w:line="240" w:lineRule="auto"/>
        <w:jc w:val="both"/>
        <w:rPr>
          <w:rFonts w:ascii="Times New Roman" w:hAnsi="Times New Roman" w:cs="Times New Roman"/>
        </w:rPr>
      </w:pPr>
      <w:r w:rsidRPr="00AB2607">
        <w:rPr>
          <w:rFonts w:ascii="Times New Roman" w:hAnsi="Times New Roman" w:cs="Times New Roman"/>
        </w:rPr>
        <w:t xml:space="preserve">U predmetnom trogodišnjem razdoblju planirano je smanjenje ukupnih rashoda koje se najviše odnosi na smanjenje materijalnih rashoda i rashoda za nabavu nefinancijske imovine. </w:t>
      </w:r>
    </w:p>
    <w:p w14:paraId="3B0DB075" w14:textId="31401B47" w:rsidR="00DB145C" w:rsidRPr="00AB2607" w:rsidRDefault="00DB145C" w:rsidP="00DB145C">
      <w:pPr>
        <w:spacing w:line="240" w:lineRule="auto"/>
        <w:jc w:val="both"/>
        <w:rPr>
          <w:rFonts w:ascii="Times New Roman" w:hAnsi="Times New Roman" w:cs="Times New Roman"/>
        </w:rPr>
      </w:pPr>
      <w:r w:rsidRPr="00AB2607">
        <w:rPr>
          <w:rFonts w:ascii="Times New Roman" w:hAnsi="Times New Roman" w:cs="Times New Roman"/>
        </w:rPr>
        <w:t>Najveći rashodi odnose na rashode za zaposlene koji u 202</w:t>
      </w:r>
      <w:r w:rsidR="008A21FD">
        <w:rPr>
          <w:rFonts w:ascii="Times New Roman" w:hAnsi="Times New Roman" w:cs="Times New Roman"/>
        </w:rPr>
        <w:t>5</w:t>
      </w:r>
      <w:r w:rsidRPr="00AB2607">
        <w:rPr>
          <w:rFonts w:ascii="Times New Roman" w:hAnsi="Times New Roman" w:cs="Times New Roman"/>
        </w:rPr>
        <w:t xml:space="preserve">. godini iznose </w:t>
      </w:r>
      <w:r w:rsidR="008A21FD">
        <w:rPr>
          <w:rFonts w:ascii="Times New Roman" w:hAnsi="Times New Roman" w:cs="Times New Roman"/>
        </w:rPr>
        <w:t>5.</w:t>
      </w:r>
      <w:r w:rsidR="00371943">
        <w:rPr>
          <w:rFonts w:ascii="Times New Roman" w:hAnsi="Times New Roman" w:cs="Times New Roman"/>
        </w:rPr>
        <w:t>312.330</w:t>
      </w:r>
      <w:r w:rsidRPr="00AB2607">
        <w:rPr>
          <w:rFonts w:ascii="Times New Roman" w:hAnsi="Times New Roman" w:cs="Times New Roman"/>
        </w:rPr>
        <w:t xml:space="preserve"> EUR, te </w:t>
      </w:r>
      <w:r w:rsidR="00425E43" w:rsidRPr="00AB2607">
        <w:rPr>
          <w:rFonts w:ascii="Times New Roman" w:hAnsi="Times New Roman" w:cs="Times New Roman"/>
        </w:rPr>
        <w:t>materijalni rashodi</w:t>
      </w:r>
      <w:r w:rsidRPr="00AB2607">
        <w:rPr>
          <w:rFonts w:ascii="Times New Roman" w:hAnsi="Times New Roman" w:cs="Times New Roman"/>
        </w:rPr>
        <w:t xml:space="preserve"> u iznosu </w:t>
      </w:r>
      <w:r w:rsidR="005B5F53" w:rsidRPr="00AB2607">
        <w:rPr>
          <w:rFonts w:ascii="Times New Roman" w:hAnsi="Times New Roman" w:cs="Times New Roman"/>
        </w:rPr>
        <w:t xml:space="preserve">od </w:t>
      </w:r>
      <w:r w:rsidR="00596C4B" w:rsidRPr="00AB2607">
        <w:rPr>
          <w:rFonts w:ascii="Times New Roman" w:hAnsi="Times New Roman" w:cs="Times New Roman"/>
        </w:rPr>
        <w:t>1.</w:t>
      </w:r>
      <w:r w:rsidR="00371943">
        <w:rPr>
          <w:rFonts w:ascii="Times New Roman" w:hAnsi="Times New Roman" w:cs="Times New Roman"/>
        </w:rPr>
        <w:t>379.288</w:t>
      </w:r>
      <w:r w:rsidR="00BA2549" w:rsidRPr="00AB2607">
        <w:rPr>
          <w:rFonts w:ascii="Times New Roman" w:hAnsi="Times New Roman" w:cs="Times New Roman"/>
        </w:rPr>
        <w:t xml:space="preserve"> </w:t>
      </w:r>
      <w:r w:rsidR="009074C0" w:rsidRPr="00AB2607">
        <w:rPr>
          <w:rFonts w:ascii="Times New Roman" w:hAnsi="Times New Roman" w:cs="Times New Roman"/>
        </w:rPr>
        <w:t>EUR. Rashodi za zaposlene u 202</w:t>
      </w:r>
      <w:r w:rsidR="008A21FD">
        <w:rPr>
          <w:rFonts w:ascii="Times New Roman" w:hAnsi="Times New Roman" w:cs="Times New Roman"/>
        </w:rPr>
        <w:t>6</w:t>
      </w:r>
      <w:r w:rsidR="009074C0" w:rsidRPr="00AB2607">
        <w:rPr>
          <w:rFonts w:ascii="Times New Roman" w:hAnsi="Times New Roman" w:cs="Times New Roman"/>
        </w:rPr>
        <w:t xml:space="preserve">. iznose </w:t>
      </w:r>
      <w:r w:rsidR="008A21FD">
        <w:rPr>
          <w:rFonts w:ascii="Times New Roman" w:hAnsi="Times New Roman" w:cs="Times New Roman"/>
        </w:rPr>
        <w:t>5.</w:t>
      </w:r>
      <w:r w:rsidR="00371943">
        <w:rPr>
          <w:rFonts w:ascii="Times New Roman" w:hAnsi="Times New Roman" w:cs="Times New Roman"/>
        </w:rPr>
        <w:t>007.104</w:t>
      </w:r>
      <w:r w:rsidR="009074C0" w:rsidRPr="00AB2607">
        <w:rPr>
          <w:rFonts w:ascii="Times New Roman" w:hAnsi="Times New Roman" w:cs="Times New Roman"/>
        </w:rPr>
        <w:t xml:space="preserve"> EUR, a u 202</w:t>
      </w:r>
      <w:r w:rsidR="008A21FD">
        <w:rPr>
          <w:rFonts w:ascii="Times New Roman" w:hAnsi="Times New Roman" w:cs="Times New Roman"/>
        </w:rPr>
        <w:t>7</w:t>
      </w:r>
      <w:r w:rsidR="009074C0" w:rsidRPr="00AB2607">
        <w:rPr>
          <w:rFonts w:ascii="Times New Roman" w:hAnsi="Times New Roman" w:cs="Times New Roman"/>
        </w:rPr>
        <w:t xml:space="preserve">. iznose </w:t>
      </w:r>
      <w:r w:rsidR="008A21FD">
        <w:rPr>
          <w:rFonts w:ascii="Times New Roman" w:hAnsi="Times New Roman" w:cs="Times New Roman"/>
        </w:rPr>
        <w:t>4.</w:t>
      </w:r>
      <w:r w:rsidR="00371943">
        <w:rPr>
          <w:rFonts w:ascii="Times New Roman" w:hAnsi="Times New Roman" w:cs="Times New Roman"/>
        </w:rPr>
        <w:t>809.515</w:t>
      </w:r>
      <w:r w:rsidR="009074C0" w:rsidRPr="00AB2607">
        <w:rPr>
          <w:rFonts w:ascii="Times New Roman" w:hAnsi="Times New Roman" w:cs="Times New Roman"/>
        </w:rPr>
        <w:t xml:space="preserve"> EUR. Materijalni rashodi u 202</w:t>
      </w:r>
      <w:r w:rsidR="008A21FD">
        <w:rPr>
          <w:rFonts w:ascii="Times New Roman" w:hAnsi="Times New Roman" w:cs="Times New Roman"/>
        </w:rPr>
        <w:t>6</w:t>
      </w:r>
      <w:r w:rsidR="009074C0" w:rsidRPr="00AB2607">
        <w:rPr>
          <w:rFonts w:ascii="Times New Roman" w:hAnsi="Times New Roman" w:cs="Times New Roman"/>
        </w:rPr>
        <w:t>. iznose 1.3</w:t>
      </w:r>
      <w:r w:rsidR="008A21FD">
        <w:rPr>
          <w:rFonts w:ascii="Times New Roman" w:hAnsi="Times New Roman" w:cs="Times New Roman"/>
        </w:rPr>
        <w:t>3</w:t>
      </w:r>
      <w:r w:rsidR="00371943">
        <w:rPr>
          <w:rFonts w:ascii="Times New Roman" w:hAnsi="Times New Roman" w:cs="Times New Roman"/>
        </w:rPr>
        <w:t>6.656</w:t>
      </w:r>
      <w:r w:rsidR="009074C0" w:rsidRPr="00AB2607">
        <w:rPr>
          <w:rFonts w:ascii="Times New Roman" w:hAnsi="Times New Roman" w:cs="Times New Roman"/>
        </w:rPr>
        <w:t xml:space="preserve"> EUR, a u 202</w:t>
      </w:r>
      <w:r w:rsidR="008A21FD">
        <w:rPr>
          <w:rFonts w:ascii="Times New Roman" w:hAnsi="Times New Roman" w:cs="Times New Roman"/>
        </w:rPr>
        <w:t>7</w:t>
      </w:r>
      <w:r w:rsidR="009074C0" w:rsidRPr="00AB2607">
        <w:rPr>
          <w:rFonts w:ascii="Times New Roman" w:hAnsi="Times New Roman" w:cs="Times New Roman"/>
        </w:rPr>
        <w:t>. iznose 1.</w:t>
      </w:r>
      <w:r w:rsidR="008A21FD">
        <w:rPr>
          <w:rFonts w:ascii="Times New Roman" w:hAnsi="Times New Roman" w:cs="Times New Roman"/>
        </w:rPr>
        <w:t>2</w:t>
      </w:r>
      <w:r w:rsidR="00371943">
        <w:rPr>
          <w:rFonts w:ascii="Times New Roman" w:hAnsi="Times New Roman" w:cs="Times New Roman"/>
        </w:rPr>
        <w:t>50.6</w:t>
      </w:r>
      <w:r w:rsidR="008A21FD">
        <w:rPr>
          <w:rFonts w:ascii="Times New Roman" w:hAnsi="Times New Roman" w:cs="Times New Roman"/>
        </w:rPr>
        <w:t>56</w:t>
      </w:r>
      <w:r w:rsidR="009074C0" w:rsidRPr="00AB2607">
        <w:rPr>
          <w:rFonts w:ascii="Times New Roman" w:hAnsi="Times New Roman" w:cs="Times New Roman"/>
        </w:rPr>
        <w:t xml:space="preserve"> EUR. </w:t>
      </w:r>
      <w:r w:rsidR="00425E43" w:rsidRPr="00AB2607">
        <w:rPr>
          <w:rFonts w:ascii="Times New Roman" w:hAnsi="Times New Roman" w:cs="Times New Roman"/>
        </w:rPr>
        <w:t>Rashodi</w:t>
      </w:r>
      <w:r w:rsidR="009074C0" w:rsidRPr="00AB2607">
        <w:rPr>
          <w:rFonts w:ascii="Times New Roman" w:hAnsi="Times New Roman" w:cs="Times New Roman"/>
        </w:rPr>
        <w:t xml:space="preserve"> za nabavu nefinancijske imovine u 202</w:t>
      </w:r>
      <w:r w:rsidR="008A21FD">
        <w:rPr>
          <w:rFonts w:ascii="Times New Roman" w:hAnsi="Times New Roman" w:cs="Times New Roman"/>
        </w:rPr>
        <w:t>5</w:t>
      </w:r>
      <w:r w:rsidR="009074C0" w:rsidRPr="00AB2607">
        <w:rPr>
          <w:rFonts w:ascii="Times New Roman" w:hAnsi="Times New Roman" w:cs="Times New Roman"/>
        </w:rPr>
        <w:t xml:space="preserve">. iznose </w:t>
      </w:r>
      <w:r w:rsidR="008A21FD">
        <w:rPr>
          <w:rFonts w:ascii="Times New Roman" w:hAnsi="Times New Roman" w:cs="Times New Roman"/>
        </w:rPr>
        <w:t>10</w:t>
      </w:r>
      <w:r w:rsidR="00371943">
        <w:rPr>
          <w:rFonts w:ascii="Times New Roman" w:hAnsi="Times New Roman" w:cs="Times New Roman"/>
        </w:rPr>
        <w:t>2.417</w:t>
      </w:r>
      <w:r w:rsidR="009074C0" w:rsidRPr="00AB2607">
        <w:rPr>
          <w:rFonts w:ascii="Times New Roman" w:hAnsi="Times New Roman" w:cs="Times New Roman"/>
        </w:rPr>
        <w:t xml:space="preserve"> EUR, u 202</w:t>
      </w:r>
      <w:r w:rsidR="008A21FD">
        <w:rPr>
          <w:rFonts w:ascii="Times New Roman" w:hAnsi="Times New Roman" w:cs="Times New Roman"/>
        </w:rPr>
        <w:t>6</w:t>
      </w:r>
      <w:r w:rsidR="009074C0" w:rsidRPr="00AB2607">
        <w:rPr>
          <w:rFonts w:ascii="Times New Roman" w:hAnsi="Times New Roman" w:cs="Times New Roman"/>
        </w:rPr>
        <w:t xml:space="preserve">. iznose </w:t>
      </w:r>
      <w:r w:rsidR="008A21FD">
        <w:rPr>
          <w:rFonts w:ascii="Times New Roman" w:hAnsi="Times New Roman" w:cs="Times New Roman"/>
        </w:rPr>
        <w:t>97.200</w:t>
      </w:r>
      <w:r w:rsidR="009074C0" w:rsidRPr="00AB2607">
        <w:rPr>
          <w:rFonts w:ascii="Times New Roman" w:hAnsi="Times New Roman" w:cs="Times New Roman"/>
        </w:rPr>
        <w:t xml:space="preserve"> EUR i u 202</w:t>
      </w:r>
      <w:r w:rsidR="00484CEE">
        <w:rPr>
          <w:rFonts w:ascii="Times New Roman" w:hAnsi="Times New Roman" w:cs="Times New Roman"/>
        </w:rPr>
        <w:t>7</w:t>
      </w:r>
      <w:r w:rsidR="009074C0" w:rsidRPr="00AB2607">
        <w:rPr>
          <w:rFonts w:ascii="Times New Roman" w:hAnsi="Times New Roman" w:cs="Times New Roman"/>
        </w:rPr>
        <w:t xml:space="preserve">. iznose </w:t>
      </w:r>
      <w:r w:rsidR="00484CEE">
        <w:rPr>
          <w:rFonts w:ascii="Times New Roman" w:hAnsi="Times New Roman" w:cs="Times New Roman"/>
        </w:rPr>
        <w:t>97.200</w:t>
      </w:r>
      <w:r w:rsidR="009074C0" w:rsidRPr="00AB2607">
        <w:rPr>
          <w:rFonts w:ascii="Times New Roman" w:hAnsi="Times New Roman" w:cs="Times New Roman"/>
        </w:rPr>
        <w:t xml:space="preserve"> EUR.</w:t>
      </w:r>
    </w:p>
    <w:p w14:paraId="17373E31" w14:textId="77777777" w:rsidR="009074C0" w:rsidRPr="00AB2607" w:rsidRDefault="009074C0" w:rsidP="00DB145C">
      <w:pPr>
        <w:spacing w:line="240" w:lineRule="auto"/>
        <w:jc w:val="both"/>
        <w:rPr>
          <w:rFonts w:ascii="Times New Roman" w:hAnsi="Times New Roman" w:cs="Times New Roman"/>
        </w:rPr>
      </w:pPr>
      <w:r w:rsidRPr="00AB2607">
        <w:rPr>
          <w:rFonts w:ascii="Times New Roman" w:hAnsi="Times New Roman" w:cs="Times New Roman"/>
        </w:rPr>
        <w:t>Najveći rashodi terete aktivnost Redovne djelatnosti Sveučilišta u Rijeci gdje se osiguravaju rashodi za zaposlene.</w:t>
      </w:r>
    </w:p>
    <w:p w14:paraId="3D598E6E" w14:textId="77777777" w:rsidR="00425E43" w:rsidRDefault="00425E43" w:rsidP="00DB145C">
      <w:pPr>
        <w:spacing w:line="240" w:lineRule="auto"/>
        <w:jc w:val="both"/>
        <w:rPr>
          <w:rFonts w:ascii="Times New Roman" w:hAnsi="Times New Roman" w:cs="Times New Roman"/>
        </w:rPr>
      </w:pPr>
    </w:p>
    <w:p w14:paraId="2FB9E761" w14:textId="77777777" w:rsidR="00484CEE" w:rsidRPr="00AB2607" w:rsidRDefault="00484CEE" w:rsidP="00DB145C">
      <w:pPr>
        <w:spacing w:line="240" w:lineRule="auto"/>
        <w:jc w:val="both"/>
        <w:rPr>
          <w:rFonts w:ascii="Times New Roman" w:hAnsi="Times New Roman" w:cs="Times New Roman"/>
        </w:rPr>
      </w:pPr>
    </w:p>
    <w:p w14:paraId="09EE50C7" w14:textId="77777777" w:rsidR="00F471E7" w:rsidRPr="00AB260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B2607">
        <w:rPr>
          <w:rFonts w:ascii="Times New Roman" w:hAnsi="Times New Roman" w:cs="Times New Roman"/>
          <w:b/>
        </w:rPr>
        <w:lastRenderedPageBreak/>
        <w:t>PRIJENOS SREDSTAVA IZ PRETHODNE I U SLJEDEĆU GODINU</w:t>
      </w:r>
    </w:p>
    <w:p w14:paraId="169DA249" w14:textId="6838F561" w:rsidR="00BA2549" w:rsidRPr="00AB2607" w:rsidRDefault="00BA2549" w:rsidP="00624C16">
      <w:pPr>
        <w:spacing w:line="240" w:lineRule="auto"/>
        <w:jc w:val="both"/>
        <w:rPr>
          <w:rFonts w:ascii="Times New Roman" w:hAnsi="Times New Roman" w:cs="Times New Roman"/>
        </w:rPr>
      </w:pPr>
      <w:r w:rsidRPr="00AB2607">
        <w:rPr>
          <w:rFonts w:ascii="Times New Roman" w:hAnsi="Times New Roman" w:cs="Times New Roman"/>
        </w:rPr>
        <w:t>Neutrošena sredstva iz vlastitih i namjenskih izvora financiranja iz prethodne godine prenose se u sljedeću. Fakultet je predvidio da će na kraju 202</w:t>
      </w:r>
      <w:r w:rsidR="00484CEE">
        <w:rPr>
          <w:rFonts w:ascii="Times New Roman" w:hAnsi="Times New Roman" w:cs="Times New Roman"/>
        </w:rPr>
        <w:t>4</w:t>
      </w:r>
      <w:r w:rsidRPr="00AB2607">
        <w:rPr>
          <w:rFonts w:ascii="Times New Roman" w:hAnsi="Times New Roman" w:cs="Times New Roman"/>
        </w:rPr>
        <w:t xml:space="preserve">. godine ostati neutrošenih </w:t>
      </w:r>
      <w:r w:rsidR="00877594">
        <w:rPr>
          <w:rFonts w:ascii="Times New Roman" w:hAnsi="Times New Roman" w:cs="Times New Roman"/>
        </w:rPr>
        <w:t>1.094.348</w:t>
      </w:r>
      <w:r w:rsidRPr="00AB2607">
        <w:rPr>
          <w:rFonts w:ascii="Times New Roman" w:hAnsi="Times New Roman" w:cs="Times New Roman"/>
        </w:rPr>
        <w:t xml:space="preserve"> EUR koji se prenose u 202</w:t>
      </w:r>
      <w:r w:rsidR="00484CEE">
        <w:rPr>
          <w:rFonts w:ascii="Times New Roman" w:hAnsi="Times New Roman" w:cs="Times New Roman"/>
        </w:rPr>
        <w:t>5</w:t>
      </w:r>
      <w:r w:rsidRPr="00AB2607">
        <w:rPr>
          <w:rFonts w:ascii="Times New Roman" w:hAnsi="Times New Roman" w:cs="Times New Roman"/>
        </w:rPr>
        <w:t xml:space="preserve">. godinu. </w:t>
      </w:r>
    </w:p>
    <w:p w14:paraId="386782A4" w14:textId="77777777" w:rsidR="00BA2549" w:rsidRPr="00AB2607" w:rsidRDefault="00BA2549" w:rsidP="00624C16">
      <w:pPr>
        <w:spacing w:line="240" w:lineRule="auto"/>
        <w:jc w:val="both"/>
        <w:rPr>
          <w:rFonts w:ascii="Times New Roman" w:hAnsi="Times New Roman" w:cs="Times New Roman"/>
        </w:rPr>
      </w:pPr>
      <w:r w:rsidRPr="00AB2607">
        <w:rPr>
          <w:rFonts w:ascii="Times New Roman" w:hAnsi="Times New Roman" w:cs="Times New Roman"/>
        </w:rPr>
        <w:t>S obzirom na planirane rashode i izdatke u razdoblju 202</w:t>
      </w:r>
      <w:r w:rsidR="00484CEE">
        <w:rPr>
          <w:rFonts w:ascii="Times New Roman" w:hAnsi="Times New Roman" w:cs="Times New Roman"/>
        </w:rPr>
        <w:t>5</w:t>
      </w:r>
      <w:r w:rsidRPr="00AB2607">
        <w:rPr>
          <w:rFonts w:ascii="Times New Roman" w:hAnsi="Times New Roman" w:cs="Times New Roman"/>
        </w:rPr>
        <w:t>. – 202</w:t>
      </w:r>
      <w:r w:rsidR="00484CEE">
        <w:rPr>
          <w:rFonts w:ascii="Times New Roman" w:hAnsi="Times New Roman" w:cs="Times New Roman"/>
        </w:rPr>
        <w:t>7</w:t>
      </w:r>
      <w:r w:rsidRPr="00AB2607">
        <w:rPr>
          <w:rFonts w:ascii="Times New Roman" w:hAnsi="Times New Roman" w:cs="Times New Roman"/>
        </w:rPr>
        <w:t xml:space="preserve">. , Fakultet neće utrošiti sva sredstva koja će ostvariti u tom razdoblju u okviru vlastiti i namjenskih izvora </w:t>
      </w:r>
      <w:r w:rsidR="00930827" w:rsidRPr="00AB2607">
        <w:rPr>
          <w:rFonts w:ascii="Times New Roman" w:hAnsi="Times New Roman" w:cs="Times New Roman"/>
        </w:rPr>
        <w:t>financiranja</w:t>
      </w:r>
      <w:r w:rsidRPr="00AB2607">
        <w:rPr>
          <w:rFonts w:ascii="Times New Roman" w:hAnsi="Times New Roman" w:cs="Times New Roman"/>
        </w:rPr>
        <w:t>, stoga je planom za 202</w:t>
      </w:r>
      <w:r w:rsidR="00484CEE">
        <w:rPr>
          <w:rFonts w:ascii="Times New Roman" w:hAnsi="Times New Roman" w:cs="Times New Roman"/>
        </w:rPr>
        <w:t>5</w:t>
      </w:r>
      <w:r w:rsidRPr="00AB2607">
        <w:rPr>
          <w:rFonts w:ascii="Times New Roman" w:hAnsi="Times New Roman" w:cs="Times New Roman"/>
        </w:rPr>
        <w:t xml:space="preserve">. godinu i </w:t>
      </w:r>
      <w:r w:rsidR="00930827" w:rsidRPr="00AB2607">
        <w:rPr>
          <w:rFonts w:ascii="Times New Roman" w:hAnsi="Times New Roman" w:cs="Times New Roman"/>
        </w:rPr>
        <w:t>projekcijama</w:t>
      </w:r>
      <w:r w:rsidRPr="00AB2607">
        <w:rPr>
          <w:rFonts w:ascii="Times New Roman" w:hAnsi="Times New Roman" w:cs="Times New Roman"/>
        </w:rPr>
        <w:t xml:space="preserve"> za 202</w:t>
      </w:r>
      <w:r w:rsidR="00484CEE">
        <w:rPr>
          <w:rFonts w:ascii="Times New Roman" w:hAnsi="Times New Roman" w:cs="Times New Roman"/>
        </w:rPr>
        <w:t>6</w:t>
      </w:r>
      <w:r w:rsidRPr="00AB2607">
        <w:rPr>
          <w:rFonts w:ascii="Times New Roman" w:hAnsi="Times New Roman" w:cs="Times New Roman"/>
        </w:rPr>
        <w:t>. i 202</w:t>
      </w:r>
      <w:r w:rsidR="00484CEE">
        <w:rPr>
          <w:rFonts w:ascii="Times New Roman" w:hAnsi="Times New Roman" w:cs="Times New Roman"/>
        </w:rPr>
        <w:t>7</w:t>
      </w:r>
      <w:r w:rsidR="00930827" w:rsidRPr="00AB2607">
        <w:rPr>
          <w:rFonts w:ascii="Times New Roman" w:hAnsi="Times New Roman" w:cs="Times New Roman"/>
        </w:rPr>
        <w:t>. godinu predviđen prijenos neutrošenih sredstava u sljedeće godine.</w:t>
      </w:r>
      <w:r w:rsidR="00484CEE">
        <w:rPr>
          <w:rFonts w:ascii="Times New Roman" w:hAnsi="Times New Roman" w:cs="Times New Roman"/>
        </w:rPr>
        <w:t xml:space="preserve"> </w:t>
      </w:r>
    </w:p>
    <w:p w14:paraId="760BA94A" w14:textId="77777777" w:rsidR="00DB145C" w:rsidRPr="00AB2607" w:rsidRDefault="00DB145C" w:rsidP="00624C16">
      <w:pPr>
        <w:spacing w:line="240" w:lineRule="auto"/>
        <w:jc w:val="both"/>
        <w:rPr>
          <w:rFonts w:ascii="Times New Roman" w:hAnsi="Times New Roman" w:cs="Times New Roman"/>
        </w:rPr>
      </w:pPr>
      <w:r w:rsidRPr="00AB2607">
        <w:rPr>
          <w:rFonts w:ascii="Times New Roman" w:hAnsi="Times New Roman" w:cs="Times New Roman"/>
        </w:rPr>
        <w:t>Prijenos sredstava iz prethodne u sljedeću godinu</w:t>
      </w:r>
      <w:r w:rsidR="00B4366D" w:rsidRPr="00AB2607">
        <w:rPr>
          <w:rFonts w:ascii="Times New Roman" w:hAnsi="Times New Roman" w:cs="Times New Roman"/>
        </w:rPr>
        <w:t>, po izvorima</w:t>
      </w:r>
      <w:r w:rsidRPr="00AB2607">
        <w:rPr>
          <w:rFonts w:ascii="Times New Roman" w:hAnsi="Times New Roman" w:cs="Times New Roman"/>
        </w:rPr>
        <w:t xml:space="preserve"> u trogodišnjem razdoblju izgleda kako slijedi:</w:t>
      </w:r>
    </w:p>
    <w:tbl>
      <w:tblPr>
        <w:tblStyle w:val="Reetkatablice"/>
        <w:tblW w:w="8911" w:type="dxa"/>
        <w:jc w:val="center"/>
        <w:tblLook w:val="04A0" w:firstRow="1" w:lastRow="0" w:firstColumn="1" w:lastColumn="0" w:noHBand="0" w:noVBand="1"/>
      </w:tblPr>
      <w:tblGrid>
        <w:gridCol w:w="1716"/>
        <w:gridCol w:w="683"/>
        <w:gridCol w:w="1107"/>
        <w:gridCol w:w="1146"/>
        <w:gridCol w:w="1024"/>
        <w:gridCol w:w="992"/>
        <w:gridCol w:w="990"/>
        <w:gridCol w:w="1253"/>
      </w:tblGrid>
      <w:tr w:rsidR="00415503" w:rsidRPr="00AB2607" w14:paraId="12DACDA2" w14:textId="77777777" w:rsidTr="00415503">
        <w:trPr>
          <w:gridAfter w:val="7"/>
          <w:wAfter w:w="7195" w:type="dxa"/>
          <w:trHeight w:val="253"/>
          <w:jc w:val="center"/>
        </w:trPr>
        <w:tc>
          <w:tcPr>
            <w:tcW w:w="1716" w:type="dxa"/>
            <w:vMerge w:val="restart"/>
            <w:vAlign w:val="center"/>
          </w:tcPr>
          <w:p w14:paraId="386A6250" w14:textId="77777777" w:rsidR="00415503" w:rsidRPr="00484CEE" w:rsidRDefault="00415503" w:rsidP="00624C16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Hlk181874057"/>
          </w:p>
        </w:tc>
      </w:tr>
      <w:tr w:rsidR="00415503" w:rsidRPr="00AB2607" w14:paraId="54DC4AAD" w14:textId="77777777" w:rsidTr="00415503">
        <w:trPr>
          <w:jc w:val="center"/>
        </w:trPr>
        <w:tc>
          <w:tcPr>
            <w:tcW w:w="1716" w:type="dxa"/>
            <w:vMerge/>
          </w:tcPr>
          <w:p w14:paraId="6F0F7C2B" w14:textId="77777777" w:rsidR="00415503" w:rsidRPr="00AB2607" w:rsidRDefault="00415503" w:rsidP="00624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401B5FED" w14:textId="77777777" w:rsidR="00415503" w:rsidRPr="00AB2607" w:rsidRDefault="00415503" w:rsidP="0041694B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7" w:type="dxa"/>
          </w:tcPr>
          <w:p w14:paraId="753BECEC" w14:textId="77777777" w:rsidR="00415503" w:rsidRPr="00AB2607" w:rsidRDefault="00415503" w:rsidP="0041694B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46" w:type="dxa"/>
          </w:tcPr>
          <w:p w14:paraId="16FD142C" w14:textId="77777777" w:rsidR="00415503" w:rsidRPr="00AB2607" w:rsidRDefault="00415503" w:rsidP="0041694B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24" w:type="dxa"/>
          </w:tcPr>
          <w:p w14:paraId="05FB87F9" w14:textId="77777777" w:rsidR="00415503" w:rsidRPr="00AB2607" w:rsidRDefault="00415503" w:rsidP="0041694B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</w:tcPr>
          <w:p w14:paraId="1D9C0079" w14:textId="77777777" w:rsidR="00415503" w:rsidRPr="00AB2607" w:rsidRDefault="00415503" w:rsidP="0041694B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0" w:type="dxa"/>
          </w:tcPr>
          <w:p w14:paraId="789DE4A0" w14:textId="77777777" w:rsidR="00415503" w:rsidRPr="00AB2607" w:rsidRDefault="00415503" w:rsidP="0041694B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53" w:type="dxa"/>
          </w:tcPr>
          <w:p w14:paraId="5C58C722" w14:textId="77777777" w:rsidR="00415503" w:rsidRPr="00AB2607" w:rsidRDefault="00415503" w:rsidP="0041694B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Ukupno</w:t>
            </w:r>
          </w:p>
        </w:tc>
      </w:tr>
      <w:tr w:rsidR="00415503" w:rsidRPr="00AB2607" w14:paraId="25435BFD" w14:textId="77777777" w:rsidTr="00415503">
        <w:trPr>
          <w:jc w:val="center"/>
        </w:trPr>
        <w:tc>
          <w:tcPr>
            <w:tcW w:w="1716" w:type="dxa"/>
          </w:tcPr>
          <w:p w14:paraId="2229BB32" w14:textId="77777777" w:rsidR="00415503" w:rsidRPr="00AB2607" w:rsidRDefault="00415503" w:rsidP="00057E25">
            <w:pPr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Donos</w:t>
            </w:r>
          </w:p>
        </w:tc>
        <w:tc>
          <w:tcPr>
            <w:tcW w:w="683" w:type="dxa"/>
          </w:tcPr>
          <w:p w14:paraId="35FF39AB" w14:textId="77777777" w:rsidR="00415503" w:rsidRPr="00AB2607" w:rsidRDefault="00415503" w:rsidP="00001AD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1B541A0F" w14:textId="77777777" w:rsidR="00415503" w:rsidRPr="00AB2607" w:rsidRDefault="00415503" w:rsidP="00001A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220.000</w:t>
            </w:r>
          </w:p>
        </w:tc>
        <w:tc>
          <w:tcPr>
            <w:tcW w:w="1146" w:type="dxa"/>
          </w:tcPr>
          <w:p w14:paraId="04786920" w14:textId="77777777" w:rsidR="00415503" w:rsidRPr="00AB2607" w:rsidRDefault="00415503" w:rsidP="00001A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</w:t>
            </w:r>
          </w:p>
        </w:tc>
        <w:tc>
          <w:tcPr>
            <w:tcW w:w="1024" w:type="dxa"/>
          </w:tcPr>
          <w:p w14:paraId="1A65A288" w14:textId="130ED414" w:rsidR="00415503" w:rsidRPr="00AB2607" w:rsidRDefault="00415503" w:rsidP="00001A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660.000</w:t>
            </w:r>
          </w:p>
        </w:tc>
        <w:tc>
          <w:tcPr>
            <w:tcW w:w="992" w:type="dxa"/>
          </w:tcPr>
          <w:p w14:paraId="4818EDD5" w14:textId="45BF1643" w:rsidR="00415503" w:rsidRPr="00AB2607" w:rsidRDefault="00415503" w:rsidP="00001A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99.348</w:t>
            </w:r>
          </w:p>
        </w:tc>
        <w:tc>
          <w:tcPr>
            <w:tcW w:w="990" w:type="dxa"/>
          </w:tcPr>
          <w:p w14:paraId="76892BD9" w14:textId="77777777" w:rsidR="00415503" w:rsidRPr="00AB2607" w:rsidRDefault="00415503" w:rsidP="00001A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65.000</w:t>
            </w:r>
          </w:p>
        </w:tc>
        <w:tc>
          <w:tcPr>
            <w:tcW w:w="1253" w:type="dxa"/>
          </w:tcPr>
          <w:p w14:paraId="07641341" w14:textId="24888F9A" w:rsidR="00415503" w:rsidRPr="00AB2607" w:rsidRDefault="00415503" w:rsidP="00001A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1.094.348</w:t>
            </w:r>
          </w:p>
        </w:tc>
      </w:tr>
      <w:tr w:rsidR="00415503" w:rsidRPr="00AB2607" w14:paraId="46F65597" w14:textId="77777777" w:rsidTr="00415503">
        <w:trPr>
          <w:jc w:val="center"/>
        </w:trPr>
        <w:tc>
          <w:tcPr>
            <w:tcW w:w="1716" w:type="dxa"/>
          </w:tcPr>
          <w:p w14:paraId="242CB54E" w14:textId="77777777" w:rsidR="00415503" w:rsidRPr="00AB2607" w:rsidRDefault="00415503" w:rsidP="0041694B">
            <w:pPr>
              <w:rPr>
                <w:rFonts w:ascii="Times New Roman" w:hAnsi="Times New Roman" w:cs="Times New Roman"/>
              </w:rPr>
            </w:pPr>
            <w:bookmarkStart w:id="1" w:name="_Hlk121396918"/>
            <w:r w:rsidRPr="00AB2607">
              <w:rPr>
                <w:rFonts w:ascii="Times New Roman" w:hAnsi="Times New Roman" w:cs="Times New Roman"/>
              </w:rPr>
              <w:t>Odnos</w:t>
            </w:r>
          </w:p>
        </w:tc>
        <w:tc>
          <w:tcPr>
            <w:tcW w:w="683" w:type="dxa"/>
          </w:tcPr>
          <w:p w14:paraId="6234343F" w14:textId="77777777" w:rsidR="00415503" w:rsidRPr="00AB2607" w:rsidRDefault="00415503" w:rsidP="00001AD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07C53699" w14:textId="3348F81C" w:rsidR="00415503" w:rsidRPr="00AB2607" w:rsidRDefault="00415503" w:rsidP="00001A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-84.675</w:t>
            </w:r>
          </w:p>
        </w:tc>
        <w:tc>
          <w:tcPr>
            <w:tcW w:w="1146" w:type="dxa"/>
          </w:tcPr>
          <w:p w14:paraId="33CC39AA" w14:textId="14444447" w:rsidR="00415503" w:rsidRPr="00AB2607" w:rsidRDefault="00415503" w:rsidP="00415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-128.027</w:t>
            </w:r>
          </w:p>
        </w:tc>
        <w:tc>
          <w:tcPr>
            <w:tcW w:w="1024" w:type="dxa"/>
          </w:tcPr>
          <w:p w14:paraId="3CCCFD6F" w14:textId="1773A5EF" w:rsidR="00415503" w:rsidRPr="00AB2607" w:rsidRDefault="00415503" w:rsidP="00001A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-591.964</w:t>
            </w:r>
          </w:p>
        </w:tc>
        <w:tc>
          <w:tcPr>
            <w:tcW w:w="992" w:type="dxa"/>
          </w:tcPr>
          <w:p w14:paraId="1F235A87" w14:textId="7306CAA6" w:rsidR="00415503" w:rsidRPr="00AB2607" w:rsidRDefault="00415503" w:rsidP="00001A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-63.810</w:t>
            </w:r>
          </w:p>
        </w:tc>
        <w:tc>
          <w:tcPr>
            <w:tcW w:w="990" w:type="dxa"/>
          </w:tcPr>
          <w:p w14:paraId="0B964061" w14:textId="77777777" w:rsidR="00415503" w:rsidRPr="00AB2607" w:rsidRDefault="00415503" w:rsidP="00001A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-34.434</w:t>
            </w:r>
          </w:p>
        </w:tc>
        <w:tc>
          <w:tcPr>
            <w:tcW w:w="1253" w:type="dxa"/>
          </w:tcPr>
          <w:p w14:paraId="1E3088A1" w14:textId="1CA0C1B5" w:rsidR="00415503" w:rsidRPr="00AB2607" w:rsidRDefault="00415503" w:rsidP="00001A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-902.910</w:t>
            </w:r>
          </w:p>
        </w:tc>
      </w:tr>
      <w:bookmarkEnd w:id="0"/>
      <w:bookmarkEnd w:id="1"/>
    </w:tbl>
    <w:p w14:paraId="733E582C" w14:textId="77777777" w:rsidR="00DB145C" w:rsidRPr="00AB2607" w:rsidRDefault="00DB145C" w:rsidP="00624C16">
      <w:pPr>
        <w:spacing w:line="240" w:lineRule="auto"/>
        <w:jc w:val="both"/>
        <w:rPr>
          <w:rFonts w:ascii="Times New Roman" w:hAnsi="Times New Roman" w:cs="Times New Roman"/>
        </w:rPr>
      </w:pPr>
    </w:p>
    <w:p w14:paraId="39C9736A" w14:textId="77777777" w:rsidR="00DB145C" w:rsidRDefault="00DB145C" w:rsidP="00624C16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8907" w:type="dxa"/>
        <w:jc w:val="center"/>
        <w:tblLook w:val="04A0" w:firstRow="1" w:lastRow="0" w:firstColumn="1" w:lastColumn="0" w:noHBand="0" w:noVBand="1"/>
      </w:tblPr>
      <w:tblGrid>
        <w:gridCol w:w="1711"/>
        <w:gridCol w:w="683"/>
        <w:gridCol w:w="1104"/>
        <w:gridCol w:w="1147"/>
        <w:gridCol w:w="1026"/>
        <w:gridCol w:w="992"/>
        <w:gridCol w:w="990"/>
        <w:gridCol w:w="1254"/>
      </w:tblGrid>
      <w:tr w:rsidR="00415503" w:rsidRPr="00AB2607" w14:paraId="0320A892" w14:textId="77777777" w:rsidTr="00415503">
        <w:trPr>
          <w:gridAfter w:val="7"/>
          <w:wAfter w:w="7196" w:type="dxa"/>
          <w:trHeight w:val="253"/>
          <w:jc w:val="center"/>
        </w:trPr>
        <w:tc>
          <w:tcPr>
            <w:tcW w:w="1711" w:type="dxa"/>
            <w:vMerge w:val="restart"/>
            <w:vAlign w:val="center"/>
          </w:tcPr>
          <w:p w14:paraId="005D84DA" w14:textId="77777777" w:rsidR="00415503" w:rsidRPr="00484CEE" w:rsidRDefault="00415503" w:rsidP="00371694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2" w:name="_Hlk181874833"/>
          </w:p>
        </w:tc>
      </w:tr>
      <w:tr w:rsidR="00415503" w:rsidRPr="00AB2607" w14:paraId="3B08D8AB" w14:textId="77777777" w:rsidTr="00415503">
        <w:trPr>
          <w:jc w:val="center"/>
        </w:trPr>
        <w:tc>
          <w:tcPr>
            <w:tcW w:w="1711" w:type="dxa"/>
            <w:vMerge/>
          </w:tcPr>
          <w:p w14:paraId="16EFA6C8" w14:textId="77777777" w:rsidR="00415503" w:rsidRPr="00AB2607" w:rsidRDefault="00415503" w:rsidP="003716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02DE13EA" w14:textId="77777777" w:rsidR="00415503" w:rsidRPr="00AB2607" w:rsidRDefault="00415503" w:rsidP="00371694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4" w:type="dxa"/>
          </w:tcPr>
          <w:p w14:paraId="1CAEA68A" w14:textId="77777777" w:rsidR="00415503" w:rsidRPr="00AB2607" w:rsidRDefault="00415503" w:rsidP="00371694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47" w:type="dxa"/>
          </w:tcPr>
          <w:p w14:paraId="7337CE41" w14:textId="77777777" w:rsidR="00415503" w:rsidRPr="00AB2607" w:rsidRDefault="00415503" w:rsidP="00371694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26" w:type="dxa"/>
          </w:tcPr>
          <w:p w14:paraId="3EF08774" w14:textId="77777777" w:rsidR="00415503" w:rsidRPr="00AB2607" w:rsidRDefault="00415503" w:rsidP="00371694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</w:tcPr>
          <w:p w14:paraId="2C894016" w14:textId="77777777" w:rsidR="00415503" w:rsidRPr="00AB2607" w:rsidRDefault="00415503" w:rsidP="00371694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0" w:type="dxa"/>
          </w:tcPr>
          <w:p w14:paraId="61FB8901" w14:textId="77777777" w:rsidR="00415503" w:rsidRPr="00AB2607" w:rsidRDefault="00415503" w:rsidP="00371694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54" w:type="dxa"/>
          </w:tcPr>
          <w:p w14:paraId="09C3E3DA" w14:textId="77777777" w:rsidR="00415503" w:rsidRPr="00AB2607" w:rsidRDefault="00415503" w:rsidP="00371694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Ukupno</w:t>
            </w:r>
          </w:p>
        </w:tc>
      </w:tr>
      <w:tr w:rsidR="00415503" w:rsidRPr="00AB2607" w14:paraId="683B1AC7" w14:textId="77777777" w:rsidTr="00415503">
        <w:trPr>
          <w:jc w:val="center"/>
        </w:trPr>
        <w:tc>
          <w:tcPr>
            <w:tcW w:w="1711" w:type="dxa"/>
          </w:tcPr>
          <w:p w14:paraId="5D6CF3FB" w14:textId="77777777" w:rsidR="00415503" w:rsidRPr="00AB2607" w:rsidRDefault="00415503" w:rsidP="00371694">
            <w:pPr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Donos</w:t>
            </w:r>
          </w:p>
        </w:tc>
        <w:tc>
          <w:tcPr>
            <w:tcW w:w="683" w:type="dxa"/>
          </w:tcPr>
          <w:p w14:paraId="37D8D88C" w14:textId="77777777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14F85013" w14:textId="7778F3FD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84.675</w:t>
            </w:r>
          </w:p>
        </w:tc>
        <w:tc>
          <w:tcPr>
            <w:tcW w:w="1147" w:type="dxa"/>
          </w:tcPr>
          <w:p w14:paraId="15249AE2" w14:textId="1564B379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128.027</w:t>
            </w:r>
          </w:p>
        </w:tc>
        <w:tc>
          <w:tcPr>
            <w:tcW w:w="1026" w:type="dxa"/>
          </w:tcPr>
          <w:p w14:paraId="3856897F" w14:textId="0571427D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591.964</w:t>
            </w:r>
          </w:p>
        </w:tc>
        <w:tc>
          <w:tcPr>
            <w:tcW w:w="992" w:type="dxa"/>
          </w:tcPr>
          <w:p w14:paraId="6AE5AC38" w14:textId="57222A4D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63.810</w:t>
            </w:r>
          </w:p>
        </w:tc>
        <w:tc>
          <w:tcPr>
            <w:tcW w:w="990" w:type="dxa"/>
          </w:tcPr>
          <w:p w14:paraId="6E322D82" w14:textId="17A1725B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34.434</w:t>
            </w:r>
          </w:p>
        </w:tc>
        <w:tc>
          <w:tcPr>
            <w:tcW w:w="1254" w:type="dxa"/>
          </w:tcPr>
          <w:p w14:paraId="1608BCAE" w14:textId="077792DF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902.910</w:t>
            </w:r>
          </w:p>
        </w:tc>
      </w:tr>
      <w:tr w:rsidR="00415503" w:rsidRPr="00AB2607" w14:paraId="2F06406D" w14:textId="77777777" w:rsidTr="00415503">
        <w:trPr>
          <w:jc w:val="center"/>
        </w:trPr>
        <w:tc>
          <w:tcPr>
            <w:tcW w:w="1711" w:type="dxa"/>
          </w:tcPr>
          <w:p w14:paraId="3E7F2DA4" w14:textId="77777777" w:rsidR="00415503" w:rsidRPr="00AB2607" w:rsidRDefault="00415503" w:rsidP="00371694">
            <w:pPr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Odnos</w:t>
            </w:r>
          </w:p>
        </w:tc>
        <w:tc>
          <w:tcPr>
            <w:tcW w:w="683" w:type="dxa"/>
          </w:tcPr>
          <w:p w14:paraId="3006D541" w14:textId="77777777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112FEEF1" w14:textId="0D2C67EF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-97.055</w:t>
            </w:r>
          </w:p>
        </w:tc>
        <w:tc>
          <w:tcPr>
            <w:tcW w:w="1147" w:type="dxa"/>
          </w:tcPr>
          <w:p w14:paraId="76EE3C3C" w14:textId="52ADA3FF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-127.257</w:t>
            </w:r>
          </w:p>
        </w:tc>
        <w:tc>
          <w:tcPr>
            <w:tcW w:w="1026" w:type="dxa"/>
          </w:tcPr>
          <w:p w14:paraId="2C89BBD7" w14:textId="382F447F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-862.878</w:t>
            </w:r>
          </w:p>
        </w:tc>
        <w:tc>
          <w:tcPr>
            <w:tcW w:w="992" w:type="dxa"/>
          </w:tcPr>
          <w:p w14:paraId="3AF7EC44" w14:textId="359C4F09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-50.910</w:t>
            </w:r>
          </w:p>
        </w:tc>
        <w:tc>
          <w:tcPr>
            <w:tcW w:w="990" w:type="dxa"/>
          </w:tcPr>
          <w:p w14:paraId="45E3CB0F" w14:textId="77777777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-14.772</w:t>
            </w:r>
          </w:p>
        </w:tc>
        <w:tc>
          <w:tcPr>
            <w:tcW w:w="1254" w:type="dxa"/>
          </w:tcPr>
          <w:p w14:paraId="4EF1D85D" w14:textId="3538966E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-1.152.872</w:t>
            </w:r>
          </w:p>
        </w:tc>
      </w:tr>
      <w:bookmarkEnd w:id="2"/>
    </w:tbl>
    <w:p w14:paraId="1DE26ADE" w14:textId="77777777" w:rsidR="000732E4" w:rsidRDefault="000732E4" w:rsidP="00624C16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8908" w:type="dxa"/>
        <w:jc w:val="center"/>
        <w:tblLook w:val="04A0" w:firstRow="1" w:lastRow="0" w:firstColumn="1" w:lastColumn="0" w:noHBand="0" w:noVBand="1"/>
      </w:tblPr>
      <w:tblGrid>
        <w:gridCol w:w="1571"/>
        <w:gridCol w:w="697"/>
        <w:gridCol w:w="1097"/>
        <w:gridCol w:w="1030"/>
        <w:gridCol w:w="1275"/>
        <w:gridCol w:w="993"/>
        <w:gridCol w:w="991"/>
        <w:gridCol w:w="1254"/>
      </w:tblGrid>
      <w:tr w:rsidR="00415503" w:rsidRPr="00AB2607" w14:paraId="22C9CC6C" w14:textId="77777777" w:rsidTr="00415503">
        <w:trPr>
          <w:gridAfter w:val="7"/>
          <w:wAfter w:w="7337" w:type="dxa"/>
          <w:trHeight w:val="253"/>
          <w:jc w:val="center"/>
        </w:trPr>
        <w:tc>
          <w:tcPr>
            <w:tcW w:w="1571" w:type="dxa"/>
            <w:vMerge w:val="restart"/>
            <w:vAlign w:val="center"/>
          </w:tcPr>
          <w:p w14:paraId="122A9540" w14:textId="77777777" w:rsidR="00415503" w:rsidRPr="00484CEE" w:rsidRDefault="00415503" w:rsidP="003716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5503" w:rsidRPr="00AB2607" w14:paraId="648D3281" w14:textId="77777777" w:rsidTr="00415503">
        <w:trPr>
          <w:jc w:val="center"/>
        </w:trPr>
        <w:tc>
          <w:tcPr>
            <w:tcW w:w="1571" w:type="dxa"/>
            <w:vMerge/>
          </w:tcPr>
          <w:p w14:paraId="32B407A1" w14:textId="77777777" w:rsidR="00415503" w:rsidRPr="00AB2607" w:rsidRDefault="00415503" w:rsidP="003716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3F956E66" w14:textId="77777777" w:rsidR="00415503" w:rsidRPr="00AB2607" w:rsidRDefault="00415503" w:rsidP="00371694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7" w:type="dxa"/>
          </w:tcPr>
          <w:p w14:paraId="62B920C2" w14:textId="77777777" w:rsidR="00415503" w:rsidRPr="00AB2607" w:rsidRDefault="00415503" w:rsidP="00371694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30" w:type="dxa"/>
          </w:tcPr>
          <w:p w14:paraId="732AAD48" w14:textId="77777777" w:rsidR="00415503" w:rsidRPr="00AB2607" w:rsidRDefault="00415503" w:rsidP="00371694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</w:tcPr>
          <w:p w14:paraId="47469832" w14:textId="77777777" w:rsidR="00415503" w:rsidRPr="00AB2607" w:rsidRDefault="00415503" w:rsidP="00371694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3" w:type="dxa"/>
          </w:tcPr>
          <w:p w14:paraId="7A498583" w14:textId="77777777" w:rsidR="00415503" w:rsidRPr="00AB2607" w:rsidRDefault="00415503" w:rsidP="00371694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1" w:type="dxa"/>
          </w:tcPr>
          <w:p w14:paraId="5024721E" w14:textId="77777777" w:rsidR="00415503" w:rsidRPr="00AB2607" w:rsidRDefault="00415503" w:rsidP="00371694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54" w:type="dxa"/>
          </w:tcPr>
          <w:p w14:paraId="213AB70D" w14:textId="77777777" w:rsidR="00415503" w:rsidRPr="00AB2607" w:rsidRDefault="00415503" w:rsidP="00371694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Ukupno</w:t>
            </w:r>
          </w:p>
        </w:tc>
      </w:tr>
      <w:tr w:rsidR="00415503" w:rsidRPr="00AB2607" w14:paraId="137720B4" w14:textId="77777777" w:rsidTr="00415503">
        <w:trPr>
          <w:jc w:val="center"/>
        </w:trPr>
        <w:tc>
          <w:tcPr>
            <w:tcW w:w="1571" w:type="dxa"/>
          </w:tcPr>
          <w:p w14:paraId="17D77554" w14:textId="77777777" w:rsidR="00415503" w:rsidRPr="00AB2607" w:rsidRDefault="00415503" w:rsidP="00371694">
            <w:pPr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Donos</w:t>
            </w:r>
          </w:p>
        </w:tc>
        <w:tc>
          <w:tcPr>
            <w:tcW w:w="697" w:type="dxa"/>
          </w:tcPr>
          <w:p w14:paraId="3FBCD1A9" w14:textId="77777777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49C4186F" w14:textId="163259D0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97.055</w:t>
            </w:r>
          </w:p>
        </w:tc>
        <w:tc>
          <w:tcPr>
            <w:tcW w:w="1030" w:type="dxa"/>
          </w:tcPr>
          <w:p w14:paraId="02EA4494" w14:textId="51900B45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127.257</w:t>
            </w:r>
          </w:p>
        </w:tc>
        <w:tc>
          <w:tcPr>
            <w:tcW w:w="1275" w:type="dxa"/>
          </w:tcPr>
          <w:p w14:paraId="7055849B" w14:textId="01536CE0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862.878</w:t>
            </w:r>
          </w:p>
        </w:tc>
        <w:tc>
          <w:tcPr>
            <w:tcW w:w="993" w:type="dxa"/>
          </w:tcPr>
          <w:p w14:paraId="1BCD19E9" w14:textId="662D3307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50.910</w:t>
            </w:r>
          </w:p>
        </w:tc>
        <w:tc>
          <w:tcPr>
            <w:tcW w:w="991" w:type="dxa"/>
          </w:tcPr>
          <w:p w14:paraId="75D360F6" w14:textId="77777777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14.772</w:t>
            </w:r>
          </w:p>
        </w:tc>
        <w:tc>
          <w:tcPr>
            <w:tcW w:w="1254" w:type="dxa"/>
          </w:tcPr>
          <w:p w14:paraId="493BBAB9" w14:textId="5E9122FB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1.153.178</w:t>
            </w:r>
          </w:p>
        </w:tc>
      </w:tr>
      <w:tr w:rsidR="00415503" w:rsidRPr="00AB2607" w14:paraId="185336B7" w14:textId="77777777" w:rsidTr="00415503">
        <w:trPr>
          <w:jc w:val="center"/>
        </w:trPr>
        <w:tc>
          <w:tcPr>
            <w:tcW w:w="1571" w:type="dxa"/>
          </w:tcPr>
          <w:p w14:paraId="5C2E5688" w14:textId="77777777" w:rsidR="00415503" w:rsidRPr="00AB2607" w:rsidRDefault="00415503" w:rsidP="00371694">
            <w:pPr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Odnos</w:t>
            </w:r>
          </w:p>
        </w:tc>
        <w:tc>
          <w:tcPr>
            <w:tcW w:w="697" w:type="dxa"/>
          </w:tcPr>
          <w:p w14:paraId="78BA81A2" w14:textId="77777777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260C2913" w14:textId="6ACF63EE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-119.435</w:t>
            </w:r>
          </w:p>
        </w:tc>
        <w:tc>
          <w:tcPr>
            <w:tcW w:w="1030" w:type="dxa"/>
          </w:tcPr>
          <w:p w14:paraId="3B90963E" w14:textId="1DC39411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-126.487</w:t>
            </w:r>
          </w:p>
        </w:tc>
        <w:tc>
          <w:tcPr>
            <w:tcW w:w="1275" w:type="dxa"/>
          </w:tcPr>
          <w:p w14:paraId="34E0A848" w14:textId="7A5AB322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-1.240.713</w:t>
            </w:r>
          </w:p>
        </w:tc>
        <w:tc>
          <w:tcPr>
            <w:tcW w:w="993" w:type="dxa"/>
          </w:tcPr>
          <w:p w14:paraId="29A4B13E" w14:textId="0380ECD7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-38.010</w:t>
            </w:r>
          </w:p>
        </w:tc>
        <w:tc>
          <w:tcPr>
            <w:tcW w:w="991" w:type="dxa"/>
          </w:tcPr>
          <w:p w14:paraId="109CCF70" w14:textId="77777777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-64.654</w:t>
            </w:r>
          </w:p>
        </w:tc>
        <w:tc>
          <w:tcPr>
            <w:tcW w:w="1254" w:type="dxa"/>
          </w:tcPr>
          <w:p w14:paraId="6ACEBDC6" w14:textId="75310C4C" w:rsidR="00415503" w:rsidRPr="00AB2607" w:rsidRDefault="00415503" w:rsidP="00371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-1.589.299</w:t>
            </w:r>
          </w:p>
        </w:tc>
      </w:tr>
    </w:tbl>
    <w:p w14:paraId="4B66BF9B" w14:textId="77777777" w:rsidR="000732E4" w:rsidRDefault="000732E4" w:rsidP="00624C16">
      <w:pPr>
        <w:spacing w:line="240" w:lineRule="auto"/>
        <w:jc w:val="both"/>
        <w:rPr>
          <w:rFonts w:ascii="Times New Roman" w:hAnsi="Times New Roman" w:cs="Times New Roman"/>
        </w:rPr>
      </w:pPr>
    </w:p>
    <w:p w14:paraId="3FD16ED5" w14:textId="77777777" w:rsidR="00186B7B" w:rsidRPr="00AB2607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B2607">
        <w:rPr>
          <w:rFonts w:ascii="Times New Roman" w:hAnsi="Times New Roman" w:cs="Times New Roman"/>
          <w:b/>
        </w:rPr>
        <w:t>UKUPNE I DOSPJELE OBVEZE</w:t>
      </w:r>
    </w:p>
    <w:p w14:paraId="6095ACD4" w14:textId="77777777" w:rsidR="00AB2607" w:rsidRPr="00AB2607" w:rsidRDefault="00AB2607" w:rsidP="00AB2607">
      <w:pPr>
        <w:spacing w:line="240" w:lineRule="auto"/>
        <w:jc w:val="both"/>
        <w:rPr>
          <w:rFonts w:ascii="Times New Roman" w:hAnsi="Times New Roman" w:cs="Times New Roman"/>
        </w:rPr>
      </w:pPr>
      <w:r w:rsidRPr="00AB2607">
        <w:rPr>
          <w:rFonts w:ascii="Times New Roman" w:hAnsi="Times New Roman" w:cs="Times New Roman"/>
        </w:rPr>
        <w:t xml:space="preserve">Stanje ukupnih nedospjelih obveza na dan 31. prosinca 2023. iznosi </w:t>
      </w:r>
      <w:r w:rsidR="00A0729F">
        <w:rPr>
          <w:rFonts w:ascii="Times New Roman" w:hAnsi="Times New Roman" w:cs="Times New Roman"/>
        </w:rPr>
        <w:t xml:space="preserve">588.900 </w:t>
      </w:r>
      <w:r w:rsidRPr="00AB2607">
        <w:rPr>
          <w:rFonts w:ascii="Times New Roman" w:hAnsi="Times New Roman" w:cs="Times New Roman"/>
        </w:rPr>
        <w:t>eura. Najveći dio nedospjelih obveza na dan 31. prosinca 2023. odnosi se na plaću za prosinac koja je bila isplaćena u siječnju 2024.</w:t>
      </w:r>
    </w:p>
    <w:p w14:paraId="69143DD8" w14:textId="77777777" w:rsidR="00AB2607" w:rsidRPr="00AB2607" w:rsidRDefault="00AB2607" w:rsidP="00AB2607">
      <w:pPr>
        <w:spacing w:line="240" w:lineRule="auto"/>
        <w:jc w:val="both"/>
        <w:rPr>
          <w:rFonts w:ascii="Times New Roman" w:hAnsi="Times New Roman" w:cs="Times New Roman"/>
        </w:rPr>
      </w:pPr>
      <w:r w:rsidRPr="00AB2607">
        <w:rPr>
          <w:rFonts w:ascii="Times New Roman" w:hAnsi="Times New Roman" w:cs="Times New Roman"/>
        </w:rPr>
        <w:t xml:space="preserve">Stanje ukupnih nedospjelih obveza na dan 30. lipnja 2024. iznosilo je  </w:t>
      </w:r>
      <w:r w:rsidR="00A0729F">
        <w:rPr>
          <w:rFonts w:ascii="Times New Roman" w:hAnsi="Times New Roman" w:cs="Times New Roman"/>
        </w:rPr>
        <w:t>418.151</w:t>
      </w:r>
      <w:r w:rsidRPr="00AB2607">
        <w:rPr>
          <w:rFonts w:ascii="Times New Roman" w:hAnsi="Times New Roman" w:cs="Times New Roman"/>
        </w:rPr>
        <w:t xml:space="preserve"> eura od čega se najveći dio odnosio na obveze za isplatu plaće za lipanj 2024. koja je bila isplaćena u srpnju 2024.</w:t>
      </w:r>
    </w:p>
    <w:p w14:paraId="489578D6" w14:textId="77777777" w:rsidR="00186B7B" w:rsidRPr="00AB2607" w:rsidRDefault="00FB5363" w:rsidP="00624C16">
      <w:pPr>
        <w:spacing w:line="240" w:lineRule="auto"/>
        <w:jc w:val="both"/>
        <w:rPr>
          <w:rFonts w:ascii="Times New Roman" w:hAnsi="Times New Roman" w:cs="Times New Roman"/>
        </w:rPr>
      </w:pPr>
      <w:r w:rsidRPr="00AB2607">
        <w:rPr>
          <w:rFonts w:ascii="Times New Roman" w:hAnsi="Times New Roman" w:cs="Times New Roman"/>
        </w:rPr>
        <w:t>St</w:t>
      </w:r>
      <w:r w:rsidR="00186B7B" w:rsidRPr="00AB2607">
        <w:rPr>
          <w:rFonts w:ascii="Times New Roman" w:hAnsi="Times New Roman" w:cs="Times New Roman"/>
        </w:rPr>
        <w:t xml:space="preserve">anje ukupnih i dospjelih obveza na dan 31. prosinca prethodne godine i </w:t>
      </w:r>
      <w:r w:rsidR="00DD2586" w:rsidRPr="00AB2607">
        <w:rPr>
          <w:rFonts w:ascii="Times New Roman" w:hAnsi="Times New Roman" w:cs="Times New Roman"/>
        </w:rPr>
        <w:t>na dan 30. lipnja tekuće godine</w:t>
      </w:r>
      <w:r w:rsidRPr="00AB2607">
        <w:rPr>
          <w:rFonts w:ascii="Times New Roman" w:hAnsi="Times New Roman" w:cs="Times New Roman"/>
        </w:rPr>
        <w:t xml:space="preserve"> izgleda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AB2607" w14:paraId="5717B30F" w14:textId="77777777" w:rsidTr="009D7CA0">
        <w:tc>
          <w:tcPr>
            <w:tcW w:w="1838" w:type="dxa"/>
          </w:tcPr>
          <w:p w14:paraId="29497CC4" w14:textId="77777777" w:rsidR="009D7CA0" w:rsidRPr="00AB2607" w:rsidRDefault="009D7CA0" w:rsidP="009D7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3442893" w14:textId="77777777" w:rsidR="009D7CA0" w:rsidRPr="00AB2607" w:rsidRDefault="009D7CA0" w:rsidP="009D7CA0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Stanje obveza na dan 31.12.202</w:t>
            </w:r>
            <w:r w:rsidR="00AB2607" w:rsidRPr="00AB2607">
              <w:rPr>
                <w:rFonts w:ascii="Times New Roman" w:hAnsi="Times New Roman" w:cs="Times New Roman"/>
              </w:rPr>
              <w:t>3</w:t>
            </w:r>
            <w:r w:rsidRPr="00AB2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68D539CF" w14:textId="77777777" w:rsidR="009D7CA0" w:rsidRPr="00AB2607" w:rsidRDefault="009D7CA0" w:rsidP="009D7CA0">
            <w:pPr>
              <w:jc w:val="center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Stanje obveza na dan 30.06.202</w:t>
            </w:r>
            <w:r w:rsidR="00AB2607" w:rsidRPr="00AB2607">
              <w:rPr>
                <w:rFonts w:ascii="Times New Roman" w:hAnsi="Times New Roman" w:cs="Times New Roman"/>
              </w:rPr>
              <w:t>4</w:t>
            </w:r>
            <w:r w:rsidRPr="00AB2607">
              <w:rPr>
                <w:rFonts w:ascii="Times New Roman" w:hAnsi="Times New Roman" w:cs="Times New Roman"/>
              </w:rPr>
              <w:t>.</w:t>
            </w:r>
          </w:p>
        </w:tc>
      </w:tr>
      <w:tr w:rsidR="009D7CA0" w:rsidRPr="00AB2607" w14:paraId="5A04A9E0" w14:textId="77777777" w:rsidTr="009D7CA0">
        <w:tc>
          <w:tcPr>
            <w:tcW w:w="1838" w:type="dxa"/>
          </w:tcPr>
          <w:p w14:paraId="433D36C4" w14:textId="77777777" w:rsidR="009D7CA0" w:rsidRPr="00AB2607" w:rsidRDefault="009D7CA0" w:rsidP="00624C16">
            <w:pPr>
              <w:jc w:val="both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Ukupne obveze</w:t>
            </w:r>
          </w:p>
        </w:tc>
        <w:tc>
          <w:tcPr>
            <w:tcW w:w="3544" w:type="dxa"/>
          </w:tcPr>
          <w:p w14:paraId="1E6AE1C2" w14:textId="77777777" w:rsidR="009D7CA0" w:rsidRPr="00AB2607" w:rsidRDefault="00A0729F" w:rsidP="00597B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588.699</w:t>
            </w:r>
          </w:p>
        </w:tc>
        <w:tc>
          <w:tcPr>
            <w:tcW w:w="3680" w:type="dxa"/>
          </w:tcPr>
          <w:p w14:paraId="0563A02E" w14:textId="77777777" w:rsidR="009D7CA0" w:rsidRPr="00AB2607" w:rsidRDefault="00974117" w:rsidP="00597B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072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8.151</w:t>
            </w:r>
          </w:p>
        </w:tc>
      </w:tr>
      <w:tr w:rsidR="009D7CA0" w:rsidRPr="00AB2607" w14:paraId="304F0E26" w14:textId="77777777" w:rsidTr="009D7CA0">
        <w:tc>
          <w:tcPr>
            <w:tcW w:w="1838" w:type="dxa"/>
          </w:tcPr>
          <w:p w14:paraId="7FF5D3CF" w14:textId="77777777" w:rsidR="009D7CA0" w:rsidRPr="00AB2607" w:rsidRDefault="009D7CA0" w:rsidP="00624C16">
            <w:pPr>
              <w:jc w:val="both"/>
              <w:rPr>
                <w:rFonts w:ascii="Times New Roman" w:hAnsi="Times New Roman" w:cs="Times New Roman"/>
              </w:rPr>
            </w:pPr>
            <w:r w:rsidRPr="00AB2607">
              <w:rPr>
                <w:rFonts w:ascii="Times New Roman" w:hAnsi="Times New Roman" w:cs="Times New Roman"/>
              </w:rPr>
              <w:t>Dospjele obveze</w:t>
            </w:r>
          </w:p>
        </w:tc>
        <w:tc>
          <w:tcPr>
            <w:tcW w:w="3544" w:type="dxa"/>
          </w:tcPr>
          <w:p w14:paraId="14CB9973" w14:textId="77777777" w:rsidR="009D7CA0" w:rsidRPr="00AB2607" w:rsidRDefault="00A0729F" w:rsidP="00597B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680" w:type="dxa"/>
          </w:tcPr>
          <w:p w14:paraId="61CA7DF5" w14:textId="77777777" w:rsidR="009D7CA0" w:rsidRPr="00AB2607" w:rsidRDefault="009D7CA0" w:rsidP="00597B1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3DEA217" w14:textId="77777777" w:rsidR="00951918" w:rsidRPr="00AB2607" w:rsidRDefault="00A618BD" w:rsidP="00A618BD">
      <w:pPr>
        <w:tabs>
          <w:tab w:val="left" w:pos="1416"/>
        </w:tabs>
        <w:spacing w:line="240" w:lineRule="auto"/>
        <w:rPr>
          <w:rFonts w:ascii="Times New Roman" w:hAnsi="Times New Roman" w:cs="Times New Roman"/>
        </w:rPr>
      </w:pPr>
      <w:r w:rsidRPr="00AB2607">
        <w:rPr>
          <w:rFonts w:ascii="Times New Roman" w:hAnsi="Times New Roman" w:cs="Times New Roman"/>
        </w:rPr>
        <w:tab/>
      </w:r>
    </w:p>
    <w:p w14:paraId="6EFD47D6" w14:textId="77777777" w:rsidR="00A618BD" w:rsidRPr="00AB2607" w:rsidRDefault="00A618BD" w:rsidP="00A618BD">
      <w:pPr>
        <w:tabs>
          <w:tab w:val="left" w:pos="1416"/>
        </w:tabs>
        <w:spacing w:line="240" w:lineRule="auto"/>
        <w:rPr>
          <w:rFonts w:ascii="Times New Roman" w:hAnsi="Times New Roman" w:cs="Times New Roman"/>
        </w:rPr>
      </w:pPr>
    </w:p>
    <w:p w14:paraId="05B9C3C6" w14:textId="0B907A97" w:rsidR="00951918" w:rsidRPr="00AB2607" w:rsidRDefault="00951918" w:rsidP="00951918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AB2607">
        <w:rPr>
          <w:rFonts w:ascii="Times New Roman" w:hAnsi="Times New Roman" w:cs="Times New Roman"/>
          <w:color w:val="000000" w:themeColor="text1"/>
        </w:rPr>
        <w:t>U Rijeci,</w:t>
      </w:r>
      <w:r w:rsidR="002433ED" w:rsidRPr="00AB2607">
        <w:rPr>
          <w:rFonts w:ascii="Times New Roman" w:hAnsi="Times New Roman" w:cs="Times New Roman"/>
          <w:color w:val="000000" w:themeColor="text1"/>
        </w:rPr>
        <w:t xml:space="preserve"> </w:t>
      </w:r>
      <w:r w:rsidR="00620E9F">
        <w:rPr>
          <w:rFonts w:ascii="Times New Roman" w:hAnsi="Times New Roman" w:cs="Times New Roman"/>
          <w:color w:val="000000" w:themeColor="text1"/>
        </w:rPr>
        <w:t>13</w:t>
      </w:r>
      <w:r w:rsidR="006A0590">
        <w:rPr>
          <w:rFonts w:ascii="Times New Roman" w:hAnsi="Times New Roman" w:cs="Times New Roman"/>
          <w:color w:val="000000" w:themeColor="text1"/>
        </w:rPr>
        <w:t xml:space="preserve">. </w:t>
      </w:r>
      <w:r w:rsidR="00620E9F">
        <w:rPr>
          <w:rFonts w:ascii="Times New Roman" w:hAnsi="Times New Roman" w:cs="Times New Roman"/>
          <w:color w:val="000000" w:themeColor="text1"/>
        </w:rPr>
        <w:t>prosinca</w:t>
      </w:r>
      <w:bookmarkStart w:id="3" w:name="_GoBack"/>
      <w:bookmarkEnd w:id="3"/>
      <w:r w:rsidR="007852CE" w:rsidRPr="00AB2607">
        <w:rPr>
          <w:rFonts w:ascii="Times New Roman" w:hAnsi="Times New Roman" w:cs="Times New Roman"/>
          <w:color w:val="000000" w:themeColor="text1"/>
        </w:rPr>
        <w:t xml:space="preserve"> </w:t>
      </w:r>
      <w:r w:rsidR="002433ED" w:rsidRPr="00AB2607">
        <w:rPr>
          <w:rFonts w:ascii="Times New Roman" w:hAnsi="Times New Roman" w:cs="Times New Roman"/>
          <w:color w:val="000000" w:themeColor="text1"/>
        </w:rPr>
        <w:t xml:space="preserve"> </w:t>
      </w:r>
      <w:r w:rsidRPr="00AB2607">
        <w:rPr>
          <w:rFonts w:ascii="Times New Roman" w:hAnsi="Times New Roman" w:cs="Times New Roman"/>
          <w:color w:val="000000" w:themeColor="text1"/>
        </w:rPr>
        <w:t>202</w:t>
      </w:r>
      <w:r w:rsidR="006A0590">
        <w:rPr>
          <w:rFonts w:ascii="Times New Roman" w:hAnsi="Times New Roman" w:cs="Times New Roman"/>
          <w:color w:val="000000" w:themeColor="text1"/>
        </w:rPr>
        <w:t>4</w:t>
      </w:r>
      <w:r w:rsidRPr="00AB2607">
        <w:rPr>
          <w:rFonts w:ascii="Times New Roman" w:hAnsi="Times New Roman" w:cs="Times New Roman"/>
          <w:color w:val="000000" w:themeColor="text1"/>
        </w:rPr>
        <w:t>.</w:t>
      </w:r>
      <w:r w:rsidRPr="00AB2607">
        <w:rPr>
          <w:rFonts w:ascii="Times New Roman" w:hAnsi="Times New Roman" w:cs="Times New Roman"/>
          <w:color w:val="000000" w:themeColor="text1"/>
        </w:rPr>
        <w:tab/>
      </w:r>
      <w:r w:rsidRPr="00AB2607">
        <w:rPr>
          <w:rFonts w:ascii="Times New Roman" w:hAnsi="Times New Roman" w:cs="Times New Roman"/>
          <w:color w:val="000000" w:themeColor="text1"/>
        </w:rPr>
        <w:tab/>
      </w:r>
      <w:r w:rsidRPr="00AB2607">
        <w:rPr>
          <w:rFonts w:ascii="Times New Roman" w:hAnsi="Times New Roman" w:cs="Times New Roman"/>
          <w:color w:val="000000" w:themeColor="text1"/>
        </w:rPr>
        <w:tab/>
      </w:r>
      <w:r w:rsidRPr="00AB2607">
        <w:rPr>
          <w:rFonts w:ascii="Times New Roman" w:hAnsi="Times New Roman" w:cs="Times New Roman"/>
          <w:color w:val="000000" w:themeColor="text1"/>
        </w:rPr>
        <w:tab/>
      </w:r>
      <w:r w:rsidRPr="00AB2607">
        <w:rPr>
          <w:rFonts w:ascii="Times New Roman" w:hAnsi="Times New Roman" w:cs="Times New Roman"/>
          <w:color w:val="000000" w:themeColor="text1"/>
        </w:rPr>
        <w:tab/>
      </w:r>
      <w:r w:rsidRPr="00AB2607">
        <w:rPr>
          <w:rFonts w:ascii="Times New Roman" w:hAnsi="Times New Roman" w:cs="Times New Roman"/>
          <w:color w:val="000000" w:themeColor="text1"/>
        </w:rPr>
        <w:tab/>
        <w:t>Dekanica:</w:t>
      </w:r>
    </w:p>
    <w:p w14:paraId="42982D1D" w14:textId="77777777" w:rsidR="00930827" w:rsidRPr="00AB2607" w:rsidRDefault="00930827" w:rsidP="005F66CE">
      <w:pPr>
        <w:spacing w:before="120" w:after="120"/>
        <w:ind w:left="5664"/>
        <w:jc w:val="both"/>
        <w:rPr>
          <w:rFonts w:ascii="Times New Roman" w:hAnsi="Times New Roman" w:cs="Times New Roman"/>
          <w:color w:val="000000" w:themeColor="text1"/>
        </w:rPr>
      </w:pPr>
    </w:p>
    <w:p w14:paraId="6307957D" w14:textId="77777777" w:rsidR="00951918" w:rsidRPr="00AB2607" w:rsidRDefault="00951918" w:rsidP="005F66CE">
      <w:pPr>
        <w:spacing w:before="120" w:after="120"/>
        <w:ind w:left="5664"/>
        <w:jc w:val="both"/>
        <w:rPr>
          <w:rFonts w:ascii="Times New Roman" w:hAnsi="Times New Roman" w:cs="Times New Roman"/>
        </w:rPr>
      </w:pPr>
      <w:r w:rsidRPr="00AB2607">
        <w:rPr>
          <w:rFonts w:ascii="Times New Roman" w:hAnsi="Times New Roman" w:cs="Times New Roman"/>
          <w:color w:val="000000" w:themeColor="text1"/>
        </w:rPr>
        <w:t>prof. dr. sc. Ana Perić Hadžić</w:t>
      </w:r>
    </w:p>
    <w:sectPr w:rsidR="00951918" w:rsidRPr="00AB2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01ADC"/>
    <w:rsid w:val="00044BAC"/>
    <w:rsid w:val="00057E25"/>
    <w:rsid w:val="000732E4"/>
    <w:rsid w:val="000A1A2E"/>
    <w:rsid w:val="000D0A1C"/>
    <w:rsid w:val="000E139D"/>
    <w:rsid w:val="00143083"/>
    <w:rsid w:val="00186B7B"/>
    <w:rsid w:val="002433ED"/>
    <w:rsid w:val="00245B1D"/>
    <w:rsid w:val="0029735D"/>
    <w:rsid w:val="00297F7A"/>
    <w:rsid w:val="002C15E8"/>
    <w:rsid w:val="00371943"/>
    <w:rsid w:val="003A22DB"/>
    <w:rsid w:val="003D2984"/>
    <w:rsid w:val="00407290"/>
    <w:rsid w:val="00415503"/>
    <w:rsid w:val="0041694B"/>
    <w:rsid w:val="00425E43"/>
    <w:rsid w:val="00466878"/>
    <w:rsid w:val="00484CEE"/>
    <w:rsid w:val="0049753D"/>
    <w:rsid w:val="004A406D"/>
    <w:rsid w:val="005722A3"/>
    <w:rsid w:val="00596C4B"/>
    <w:rsid w:val="00597B1C"/>
    <w:rsid w:val="005B5F53"/>
    <w:rsid w:val="005C1418"/>
    <w:rsid w:val="005F66CE"/>
    <w:rsid w:val="00605080"/>
    <w:rsid w:val="00614C12"/>
    <w:rsid w:val="00620E9F"/>
    <w:rsid w:val="00624C16"/>
    <w:rsid w:val="006A0590"/>
    <w:rsid w:val="0072334A"/>
    <w:rsid w:val="007852CE"/>
    <w:rsid w:val="00787D1F"/>
    <w:rsid w:val="007B6A4C"/>
    <w:rsid w:val="00877594"/>
    <w:rsid w:val="00886D68"/>
    <w:rsid w:val="008A21FD"/>
    <w:rsid w:val="008E69EE"/>
    <w:rsid w:val="009074C0"/>
    <w:rsid w:val="00930827"/>
    <w:rsid w:val="0094274B"/>
    <w:rsid w:val="00951918"/>
    <w:rsid w:val="00974117"/>
    <w:rsid w:val="00975BA7"/>
    <w:rsid w:val="009D7CA0"/>
    <w:rsid w:val="00A0729F"/>
    <w:rsid w:val="00A35E28"/>
    <w:rsid w:val="00A6013C"/>
    <w:rsid w:val="00A618BD"/>
    <w:rsid w:val="00A64D16"/>
    <w:rsid w:val="00A85399"/>
    <w:rsid w:val="00AB2607"/>
    <w:rsid w:val="00AC288F"/>
    <w:rsid w:val="00AC5AF7"/>
    <w:rsid w:val="00AE2812"/>
    <w:rsid w:val="00B4366D"/>
    <w:rsid w:val="00B4557E"/>
    <w:rsid w:val="00B7793B"/>
    <w:rsid w:val="00BA2549"/>
    <w:rsid w:val="00BF44C6"/>
    <w:rsid w:val="00CA12E2"/>
    <w:rsid w:val="00D019AB"/>
    <w:rsid w:val="00D47A20"/>
    <w:rsid w:val="00DB145C"/>
    <w:rsid w:val="00DD2586"/>
    <w:rsid w:val="00DF778D"/>
    <w:rsid w:val="00E34EA9"/>
    <w:rsid w:val="00E35379"/>
    <w:rsid w:val="00E57115"/>
    <w:rsid w:val="00E74D93"/>
    <w:rsid w:val="00EC7143"/>
    <w:rsid w:val="00F11079"/>
    <w:rsid w:val="00F471E7"/>
    <w:rsid w:val="00F70550"/>
    <w:rsid w:val="00FB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3FD9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Vladimirka Telenta</cp:lastModifiedBy>
  <cp:revision>34</cp:revision>
  <cp:lastPrinted>2024-11-07T13:14:00Z</cp:lastPrinted>
  <dcterms:created xsi:type="dcterms:W3CDTF">2022-09-28T15:06:00Z</dcterms:created>
  <dcterms:modified xsi:type="dcterms:W3CDTF">2024-12-14T09:27:00Z</dcterms:modified>
</cp:coreProperties>
</file>